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87" w:rsidRDefault="00AC2787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AC2787" w:rsidRPr="002A6780" w:rsidTr="00757029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C2787" w:rsidRPr="002A6780" w:rsidRDefault="00AC2787" w:rsidP="00757029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AC2787" w:rsidRPr="002A6780" w:rsidRDefault="00AC2787" w:rsidP="00757029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AC2787" w:rsidRPr="002A6780" w:rsidRDefault="00AC2787" w:rsidP="0075702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AC2787" w:rsidRPr="002A6780" w:rsidRDefault="00AC2787" w:rsidP="0075702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AC2787" w:rsidRPr="002A6780" w:rsidRDefault="00AC2787" w:rsidP="0075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AC2787" w:rsidRPr="002A6780" w:rsidRDefault="00AC2787" w:rsidP="00757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AC2787" w:rsidRPr="002A6780" w:rsidRDefault="00AC2787" w:rsidP="0075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AC2787" w:rsidRPr="002A6780" w:rsidRDefault="00AC2787" w:rsidP="0075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363D9" wp14:editId="35DA7F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AC2787" w:rsidRPr="002A6780" w:rsidRDefault="00AC2787" w:rsidP="00757029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C2787" w:rsidRPr="002A6780" w:rsidRDefault="00AC2787" w:rsidP="00757029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2A6780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2A6780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AC2787" w:rsidRPr="002A6780" w:rsidRDefault="00AC2787" w:rsidP="0075702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AC2787" w:rsidRPr="002A6780" w:rsidRDefault="00AC2787" w:rsidP="0075702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AC2787" w:rsidRPr="002A6780" w:rsidRDefault="00AC2787" w:rsidP="0075702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AC2787" w:rsidRPr="002A6780" w:rsidRDefault="00AC2787" w:rsidP="00757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AC2787" w:rsidRPr="002A6780" w:rsidRDefault="00AC2787" w:rsidP="00757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2A678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AC2787" w:rsidRPr="002A6780" w:rsidRDefault="00AC2787" w:rsidP="0075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2787" w:rsidRPr="002A6780" w:rsidRDefault="00AC2787" w:rsidP="00AC2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</w:t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</w:t>
      </w:r>
      <w:proofErr w:type="gramStart"/>
      <w:r w:rsidRPr="002A67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</w:p>
    <w:p w:rsidR="00AC2787" w:rsidRPr="002A6780" w:rsidRDefault="00D044D2" w:rsidP="00AC278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18  декабря </w:t>
      </w:r>
      <w:r w:rsidR="00AC2787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148</w:t>
      </w:r>
      <w:r w:rsidR="00AC2787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787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787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787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787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C2787"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C2787" w:rsidRDefault="00AC2787" w:rsidP="00AC278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2A67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AC2787" w:rsidRPr="002A6780" w:rsidRDefault="00AC2787" w:rsidP="00AC278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5E" w:rsidRPr="00AC2787" w:rsidRDefault="00AC2787" w:rsidP="00AC2787">
      <w:pPr>
        <w:spacing w:after="0"/>
        <w:rPr>
          <w:rFonts w:ascii="Times New Roman" w:hAnsi="Times New Roman" w:cs="Times New Roman"/>
        </w:rPr>
      </w:pPr>
      <w:r w:rsidRPr="00AC2787">
        <w:rPr>
          <w:rFonts w:ascii="Times New Roman" w:hAnsi="Times New Roman" w:cs="Times New Roman"/>
        </w:rPr>
        <w:t>Об утверждении Порядка подготовки к ведению</w:t>
      </w:r>
    </w:p>
    <w:p w:rsidR="00AC2787" w:rsidRPr="00AC2787" w:rsidRDefault="00AC2787" w:rsidP="00AC2787">
      <w:pPr>
        <w:spacing w:after="0"/>
        <w:rPr>
          <w:rFonts w:ascii="Times New Roman" w:hAnsi="Times New Roman" w:cs="Times New Roman"/>
        </w:rPr>
      </w:pPr>
      <w:r w:rsidRPr="00AC2787">
        <w:rPr>
          <w:rFonts w:ascii="Times New Roman" w:hAnsi="Times New Roman" w:cs="Times New Roman"/>
        </w:rPr>
        <w:t>гражданской обороны в Хабаровском сельском поселении.</w:t>
      </w:r>
    </w:p>
    <w:p w:rsidR="00AC2787" w:rsidRPr="00AC2787" w:rsidRDefault="00AC2787" w:rsidP="00AC2787">
      <w:pPr>
        <w:spacing w:after="0"/>
        <w:rPr>
          <w:rFonts w:ascii="Times New Roman" w:hAnsi="Times New Roman" w:cs="Times New Roman"/>
        </w:rPr>
      </w:pP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ПОСТАНОВЛЯЮ: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 Утвердить порядок подготовки к ведению и ведения гражданской обороны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Хабаровском сельском поселении  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(приложение 1).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 Контроль над исполнением настоящего постановления оставляю за собой.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Постановление вступает в силу со дня его подписания.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Хабаровского 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proofErr w:type="gram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А.А.Топчин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5031"/>
      </w:tblGrid>
      <w:tr w:rsidR="00AC2787" w:rsidRPr="00AC2787" w:rsidTr="00757029">
        <w:trPr>
          <w:tblCellSpacing w:w="0" w:type="dxa"/>
        </w:trPr>
        <w:tc>
          <w:tcPr>
            <w:tcW w:w="4324" w:type="dxa"/>
          </w:tcPr>
          <w:p w:rsidR="00AC2787" w:rsidRPr="00AC2787" w:rsidRDefault="00AC2787" w:rsidP="00AC2787">
            <w:pPr>
              <w:keepNext/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31" w:type="dxa"/>
          </w:tcPr>
          <w:p w:rsidR="00AC2787" w:rsidRDefault="00AC2787" w:rsidP="00AC2787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C2787" w:rsidRDefault="00AC2787" w:rsidP="00AC2787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C2787" w:rsidRPr="00AC2787" w:rsidRDefault="00AC2787" w:rsidP="00AC2787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Приложение № 1</w:t>
            </w:r>
          </w:p>
          <w:p w:rsidR="00AC2787" w:rsidRDefault="00AC2787" w:rsidP="00AC2787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к постановлению </w:t>
            </w: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x-none" w:eastAsia="x-none"/>
              </w:rPr>
              <w:t xml:space="preserve">Главы </w:t>
            </w:r>
          </w:p>
          <w:p w:rsidR="00AC2787" w:rsidRPr="00AC2787" w:rsidRDefault="00AC2787" w:rsidP="00AC2787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Хабаровского </w:t>
            </w: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x-none" w:eastAsia="x-none"/>
              </w:rPr>
              <w:t xml:space="preserve"> </w:t>
            </w: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поселения  </w:t>
            </w:r>
          </w:p>
          <w:p w:rsidR="00AC2787" w:rsidRPr="00AC2787" w:rsidRDefault="00AC2787" w:rsidP="00AC2787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</w:pP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 </w:t>
            </w:r>
          </w:p>
          <w:p w:rsidR="00AC2787" w:rsidRPr="00D044D2" w:rsidRDefault="00AC2787" w:rsidP="00D044D2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о</w:t>
            </w: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x-none" w:eastAsia="x-none"/>
              </w:rPr>
              <w:t>т</w:t>
            </w: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 «</w:t>
            </w:r>
            <w:r w:rsidR="00D044D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18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x-none" w:eastAsia="x-none"/>
              </w:rPr>
              <w:t xml:space="preserve"> </w:t>
            </w: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»</w:t>
            </w:r>
            <w:r w:rsidR="00D044D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 xml:space="preserve">  декабря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x-none" w:eastAsia="x-none"/>
              </w:rPr>
              <w:t>2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013</w:t>
            </w:r>
            <w:r w:rsidRPr="00AC278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x-none" w:eastAsia="x-none"/>
              </w:rPr>
              <w:t xml:space="preserve"> г. № </w:t>
            </w:r>
            <w:r w:rsidR="00D044D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x-none"/>
              </w:rPr>
              <w:t>148</w:t>
            </w:r>
          </w:p>
        </w:tc>
      </w:tr>
    </w:tbl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ПОРЯДОК</w:t>
      </w:r>
    </w:p>
    <w:p w:rsidR="00AC2787" w:rsidRPr="00AC2787" w:rsidRDefault="00AC2787" w:rsidP="00AC278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подготовки к ведению и ведения гражданской обороны в сельском поселении 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1. Общие положения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1.1. </w:t>
      </w:r>
      <w:proofErr w:type="gram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Настоящий Порядок подготовки к ведению и вложение об организации и ведении гражданской обороны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Хабаровском сельском поселении 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C2787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    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AC2787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2008 г</w:t>
        </w:r>
      </w:smartTag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обороне.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подготовку и обучение населения в области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2.2. Глава муниципального образования в пределах своей компетенции: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разрабатывает целевые программы в области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2.6.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планируют и организуют проведение мероприятий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осуществляют обучение своих работников в области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3. Мероприятия по гражданской обороне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3.2.1. По обучению населения в области гражданской обороны: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обучение личного состава формирований и служб муниципальных образований;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учений и тренировок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пропаганда знаний в области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сбор информации в области гражданской обороны и обмен ею.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добегания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волны прорыва при разрушении гидротехнических сооружений;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3.2.4. По предоставлению населению убежищ и средств индивидуальной защиты: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планирование и организация строительства недостающих защитных сооружений гражданской обороны в военное время;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3.2.5. По световой и другим видам маскировки: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перечня объектов, подлежащих маскировке;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и организация основных видов жизнеобеспечения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предоставление населению коммунально-бытовых услуг;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лечебно-эвакуационных мероприятий;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оказание населению медицинской помощи;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численности населения, оставшегося без жилья;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предоставление населению информационно-психологической поддержки.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3.2.13. По срочному захоронению трупов в военное время: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оборудование мест погребения (захоронения) тел (останков) погибших;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санитарно-эпидемиологического надзора.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страхового фонда документации;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3.2.15. По вопросам обеспечения постоянной готовности сил и средств гражданской обороны: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и корректировка планов действий сил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4.4. Органами, осуществляющими управление гражданской обороной на территории муниципального образования являются структурные подразделения (работники) по гражданской обороне органов местного самоуправления и организаций.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4.6. Эвакуационные (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5.            Состав сил и средств гражданской обороны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республики и утверждается руководителем гражданской обороны муниципального образования.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Республике Алтай.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</w:t>
      </w:r>
      <w:r w:rsidR="00D044D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ежурные силы и средства – _____</w:t>
      </w:r>
      <w:r w:rsidR="0039489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час</w:t>
      </w:r>
      <w:proofErr w:type="gram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.;</w:t>
      </w:r>
      <w:proofErr w:type="gramEnd"/>
    </w:p>
    <w:p w:rsidR="00AC2787" w:rsidRPr="00AC2787" w:rsidRDefault="00D044D2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управления -  _______</w:t>
      </w:r>
      <w:r w:rsidR="0039489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AC2787"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час</w:t>
      </w:r>
      <w:proofErr w:type="gramStart"/>
      <w:r w:rsidR="00AC2787"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.;</w:t>
      </w:r>
      <w:proofErr w:type="gramEnd"/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си</w:t>
      </w:r>
      <w:r w:rsidR="00D044D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лы постоянной готовности – _____</w:t>
      </w: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час</w:t>
      </w:r>
      <w:proofErr w:type="gram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.;</w:t>
      </w:r>
      <w:proofErr w:type="gramEnd"/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</w:t>
      </w:r>
      <w:r w:rsidR="00D044D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лы повышенной готовности – _____</w:t>
      </w:r>
      <w:bookmarkStart w:id="0" w:name="_GoBack"/>
      <w:bookmarkEnd w:id="0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час.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6. Подготовка к ведению и ведение гражданской обороны в муниципальном образовании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комиссии. Эвакуационные (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эвакоприемных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эвакоприемных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Республики Алтай определяется Главным управлением МЧС России по Республике Алтай.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необходимого количества транспортных средств для эвакуации населения категорированного города, материальных и культурных ценностей в безопасные районы;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и организацию основных видов жизнеобеспечения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6.10.1. По вопросам управления мероприятиями гражданской обороны: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приведение в готовность системы управления организации;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развертывание работы штабов, боевых расчетов ГО на пункте управления;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защиты </w:t>
      </w:r>
      <w:proofErr w:type="spellStart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водоисточников</w:t>
      </w:r>
      <w:proofErr w:type="spellEnd"/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организация лабораторного контроля питьевой и сточных вод в пунктах водоснабжения;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срочного захоронения трупов;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мероприятий по светомаскировке.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6.10.10. По вопросам обеспечения охраны общественного порядка: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мероприятий, направленных на поддержание общественного порядка в городе, отнесенном к группе территорий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готовности сил и средств противопожарной службы и НАСФ;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привлечение населения к обеспечению пожарной безопасности.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6.10.12. По вопросам дорожного обеспечения муниципального образования: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AC2787" w:rsidRPr="00AC2787" w:rsidRDefault="00AC2787" w:rsidP="00AC2787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6.10.13. По вопросам защиты животных и растений: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ветеринарной и фитопатологической разведки;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развертывание и обеспечение работы эвакуационных органов всех уровней;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готовности к действиям группировки сил и средств для проведения АСДНР;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всех видов разведки на маршрутах ввода сил;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мероприятий по учету потерь населения.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7. Заключительные положения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C2787" w:rsidRPr="00AC2787" w:rsidRDefault="00AC2787" w:rsidP="00AC2787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C278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AC2787" w:rsidRPr="00AC2787" w:rsidRDefault="00AC2787" w:rsidP="00AC278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C2787" w:rsidRDefault="00AC2787" w:rsidP="00AC2787">
      <w:pPr>
        <w:spacing w:after="0"/>
      </w:pPr>
    </w:p>
    <w:sectPr w:rsidR="00AC2787" w:rsidSect="00AC27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7"/>
    <w:rsid w:val="0039489A"/>
    <w:rsid w:val="0086345E"/>
    <w:rsid w:val="00A23017"/>
    <w:rsid w:val="00AC2787"/>
    <w:rsid w:val="00AF4B96"/>
    <w:rsid w:val="00D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2014-01-07T11:31:00Z</cp:lastPrinted>
  <dcterms:created xsi:type="dcterms:W3CDTF">2013-10-30T13:42:00Z</dcterms:created>
  <dcterms:modified xsi:type="dcterms:W3CDTF">2014-01-07T11:31:00Z</dcterms:modified>
</cp:coreProperties>
</file>