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3"/>
        <w:ind w:left="5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2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5" w:line="170" w:lineRule="exact"/>
        <w:ind w:left="2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плановый период 2022 и 2023 годов</w:t>
      </w:r>
      <w:bookmarkEnd w:id="1"/>
    </w:p>
    <w:p>
      <w:pPr>
        <w:pStyle w:val="Style12"/>
        <w:framePr w:w="100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238"/>
        <w:gridCol w:w="816"/>
        <w:gridCol w:w="816"/>
        <w:gridCol w:w="1402"/>
        <w:gridCol w:w="1402"/>
        <w:gridCol w:w="1411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Уточненный план 2022г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2023 год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29068,7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15592,3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2066,0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2107,8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14465,4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2180,7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3,8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6698,8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5612,9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1121,1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3489,7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3489,7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3345,2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144,6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22193,7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23212,8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1210,7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14011,5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7990,6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8311,1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3166,7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7711,1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2566,7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353408,8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240270,9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35575,1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159398,1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31633,1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1512,8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1512,8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12151,8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47897,2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47897,2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39967,4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7929,8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6925,7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6117,7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822,9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 |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510,0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12840,6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380947,0</w:t>
            </w:r>
          </w:p>
        </w:tc>
      </w:tr>
    </w:tbl>
    <w:p>
      <w:pPr>
        <w:framePr w:w="100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613" w:left="1414" w:right="401" w:bottom="613" w:header="0" w:footer="3" w:gutter="0"/>
      <w:rtlGutter w:val="0"/>
      <w:cols w:space="720"/>
      <w:pgNumType w:start="1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.7pt;margin-top:13.5pt;width:51.85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 + Times New Roman"/>
    <w:basedOn w:val="CharStyle6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3">
    <w:name w:val="Подпись к таблице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4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outlineLvl w:val="0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2">
    <w:name w:val="Подпись к таблице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