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439"/>
        <w:ind w:left="280" w:right="2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 расходов муниципального образования"Онгудайский район" на плановый период 2023 и 2024годов</w:t>
      </w:r>
      <w:bookmarkEnd w:id="0"/>
    </w:p>
    <w:tbl>
      <w:tblPr>
        <w:tblOverlap w:val="never"/>
        <w:tblLayout w:type="fixed"/>
        <w:jc w:val="center"/>
      </w:tblPr>
      <w:tblGrid>
        <w:gridCol w:w="874"/>
        <w:gridCol w:w="3859"/>
        <w:gridCol w:w="1181"/>
        <w:gridCol w:w="1176"/>
        <w:gridCol w:w="1162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2024год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13 618,54609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18 513,59609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18 608,39200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4 079,24940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54 709,47040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54 713,00146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426,20000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32 259,11000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14 126,28551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36 083,44551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35 630,85490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-1 980,28000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5 502,54000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23 334,12199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3"/>
              </w:rPr>
              <w:t>267 968,08412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3"/>
              </w:rPr>
              <w:t>399 286,25714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-149,15250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6 524,67450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6 524,67450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-5 824,55000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7 016,05000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14 116,49000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47 630,42049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3"/>
              </w:rPr>
              <w:t>428 577,37062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3"/>
              </w:rPr>
              <w:t>566 641,32000</w:t>
            </w:r>
          </w:p>
        </w:tc>
      </w:tr>
    </w:tbl>
    <w:p>
      <w:pPr>
        <w:framePr w:w="82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847" w:left="1020" w:right="2629" w:bottom="1847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95pt;margin-top:57.65pt;width:157.7pt;height:21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 бюджеет муниципального образования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"Онгудайский район" на 2022 год и на плановый период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2023 и 2024 годов"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22.05pt;margin-top:37.25pt;width:39.85pt;height:5.7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">
    <w:name w:val="Основной текст (2) + Times New Roman,8 pt,Полужирный"/>
    <w:basedOn w:val="CharStyle9"/>
    <w:rPr>
      <w:lang w:val="ru-RU" w:eastAsia="ru-RU" w:bidi="ru-RU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Основной текст (2) + Times New Roman,6 pt,Полужирный"/>
    <w:basedOn w:val="CharStyle9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Times New Roman,8 pt"/>
    <w:basedOn w:val="CharStyle9"/>
    <w:rPr>
      <w:lang w:val="ru-RU" w:eastAsia="ru-RU" w:bidi="ru-RU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"/>
    <w:basedOn w:val="CharStyle9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both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