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2023 и 2024 годов</w:t>
      </w:r>
    </w:p>
    <w:p>
      <w:pPr>
        <w:pStyle w:val="Style7"/>
        <w:framePr w:w="98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5"/>
        <w:gridCol w:w="912"/>
        <w:gridCol w:w="758"/>
        <w:gridCol w:w="720"/>
        <w:gridCol w:w="725"/>
        <w:gridCol w:w="720"/>
        <w:gridCol w:w="725"/>
        <w:gridCol w:w="720"/>
        <w:gridCol w:w="734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План на 2024 год</w:t>
            </w:r>
          </w:p>
        </w:tc>
      </w:tr>
      <w:tr>
        <w:trPr>
          <w:trHeight w:val="17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за счет субсидий и иных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межбюджетн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трансфертов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республикан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0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60"/>
            </w:pPr>
            <w:r>
              <w:rPr>
                <w:rStyle w:val="CharStyle10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за счет субсидий и иных межбюдже тных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трансферт ов 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республик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анского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за счет субсидий и иных межбюдже тных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трансферт ов 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республик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анского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</w:rPr>
              <w:t>за счет местного бюджета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</w:tr>
    </w:tbl>
    <w:p>
      <w:pPr>
        <w:framePr w:w="9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0" w:left="1133" w:right="951" w:bottom="104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