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216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jc w:val="center"/>
        <w:spacing w:before="0" w:after="0" w:line="216" w:lineRule="exact"/>
        <w:ind w:left="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13" w:left="1524" w:right="430" w:bottom="369" w:header="0" w:footer="3" w:gutter="0"/>
          <w:rtlGutter w:val="0"/>
          <w:cols w:space="720"/>
          <w:pgNumType w:start="3"/>
          <w:noEndnote/>
          <w:docGrid w:linePitch="360"/>
        </w:sectPr>
      </w:pPr>
      <w:r>
        <w:pict>
          <v:shape id="_x0000_s1028" type="#_x0000_t202" style="position:absolute;margin-left:460.3pt;margin-top:11.85pt;width:41.5pt;height:10.6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"/>
                    </w:rPr>
                    <w:t>(тыс.рублей)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-5.5pt;margin-top:19.7pt;width:508.1pt;height:5.e-002pt;z-index:-125829375;mso-wrap-distance-left:5.pt;mso-wrap-distance-right:5.pt;mso-wrap-distance-bottom:19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66"/>
                    <w:gridCol w:w="974"/>
                    <w:gridCol w:w="638"/>
                    <w:gridCol w:w="1114"/>
                    <w:gridCol w:w="1114"/>
                    <w:gridCol w:w="1056"/>
                  </w:tblGrid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2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Уточненный план 2023г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2024г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Целевая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Вид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13618,54609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18513,59609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18608,39200</w:t>
                        </w:r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-802,75000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мерпориятие: Материально-техническое обеспечение Администрации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-802,75000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Расходы на обеспечение функций Администрации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-802,75000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-602,75000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-200,00000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-172,36571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1482,81429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1577,61020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Развитие агропромышленного комплекса территории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-618,59000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592,10000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592,10000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Развитие малых форм хозяйствования и кооперации на селе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-681,49000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-481,49000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-200,00000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45,10000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236,90000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45,10000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236,90000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государственных полномочий Республики Алтай в сфере обращения с безнадзорными собаками и кошками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17,80000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355,20000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17,80000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355,20000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Устойчивое развитие сельских территорий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446,22429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890,71429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985,51020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446,22429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890,71429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985,51020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446,22429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890,71429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985,51020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государственных полномочий по лицензированию розничной продажи алкогольной продукции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64,40000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62,02000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62,02000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62,02000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-55,42000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2,38000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2,38000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-449,99550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0,00450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-349,99550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0,00450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-350,00000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-350,00000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0,00350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Оказание информационно-консультативной поддержки предпринимательства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0,00100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: Формирование внешней среды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Оказание информационно-консультативной поддержки предпринимательства;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-27,33000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1901,99000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1901,99000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Обеспечение доступности информации для населения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-27,33000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1901,99000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1901,99000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1901,99000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15064,38730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14474,68730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4079,24940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54709,47040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54713,00146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Отдела культурв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-2088,20000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-2082,10000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2830,49183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43622,27183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43622,27183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3622,93163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28198,94163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28198,94163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27034,86000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1164,08163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1164,08163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1164,08163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1164,08163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21,20076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807,41076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807,41076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-16,70076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21,48924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21,48924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-796,93980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14594,43020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14594,43020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Создание модельнв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х муниципальных библиотек (иные межбюджетнвю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292,17000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1232,40000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1232,40000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182,40000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182,40000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-10,11243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958,32857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961,90000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8896,42963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1734,51000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7161,96000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7161,96000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7161,91963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6896,51963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5237,32000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1644,68963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14,51000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426,20000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32259,51000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32259,11000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-892,90000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-889,90000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бюджетные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26459,00000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26458,60000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26459,00000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26458,60000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е трансферта: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е трансферты: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полномочий по составлению (изменению) списков кандидатов в присяжнв:е заседатели федеральнв:х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3,40000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5800,51000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5057,36000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5057,36000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5057,36000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738,15000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738,15000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738,15000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14126,28551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36083,44551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35630,85490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выплата: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212,94490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1844,50490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1844,50490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инв:е выплата: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242,80490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(муниципальные)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195,56000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расходные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47,24490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161,35258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1168,47258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1168,47258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-189,65258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92,22742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92,22742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-1283,32939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1883,63061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1285,10000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-683,22939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1083,43061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-536,60000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-536,60000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-146,62939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616,53061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-146,62939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616,53061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14799,37000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14799,37000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14799,37000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14799,37000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17465,63000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17465,63000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17701,88000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3278,63000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14423,25000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7007,74000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7007,74000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7243,99000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4992,58000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2015,51000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235,90000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7179,26000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-1980,28000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-7482,82000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-7482,82000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-4454,58000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-4454,58000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-3028,24000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-2876,53000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-151,71000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казеннвши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5502,54000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23334,12199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267968,08412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399286,25714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платв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 xml:space="preserve">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казеннвми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-8541,47000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-6914,17000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подведомственный.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-2333,27000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-2319,27000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-1627,30000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-1627,30000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23254,15545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222670,47758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355618,42714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24024,18151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216500,07899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352098,42714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65327,66062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65327,66062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65327,67000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65327,66062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65327,66062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65327,67000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-58088,85300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-58088,85300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-29201,47000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-29201,47000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23912,90000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84246,90000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218770,40000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23912,90000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84246,90000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218770,40000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1976,02041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1976,02041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1976,02041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1976,02041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161,53306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3147,95918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3147,95918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161,53306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3147,95918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3147,95918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4662,90000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-1964,12958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11901,93878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12228,87755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-1964,12958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11901,93878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12228,87755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20479,90000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20479,90000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-135,39000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32930,49000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28174,55000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-203,29000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31429,79000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26673,85000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30537,59000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26266,85000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30537,59000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26266,85000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407,00000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407,00000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-18047,81000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-18047,81000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-5548,41000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-5548,41000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</w:t>
            </w:r>
          </w:p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5"/>
              </w:rPr>
              <w:t>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165,20000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1335,50000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1335,50000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15493,28000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3901,18000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8465,93654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8465,93654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11592,10000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6244,33654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6244,33654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745,63654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745,63654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6093,40000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6093,40000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-149,15250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6524,67450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6524,67450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Резервнвш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-149,15250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4024,67450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4024,67450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1980,07351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1185,14839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859,45260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орлана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выплат</w:t>
            </w:r>
            <w:r>
              <w:rPr>
                <w:rStyle w:val="CharStyle16"/>
              </w:rPr>
              <w:t>^1</w:t>
            </w:r>
            <w:r>
              <w:rPr>
                <w:rStyle w:val="CharStyle15"/>
              </w:rPr>
              <w:t xml:space="preserve"> по оплате трудл работниковСов 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-5824,55000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7016,05000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14116,49000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47630,42049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428577,37062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566641,32000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81" w:left="1186" w:right="288" w:bottom="10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.85pt;margin-top:31.5pt;width:156.5pt;height:19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к решению "О бюджеет муниципального образования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"Онгудайский район” на 2022 год и на плановый период 2023 и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2024 годов”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29.3pt;margin-top:15.15pt;width:47.3pt;height:6.2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Приложение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">
    <w:name w:val="Основной текст (4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">
    <w:name w:val="Основной текст (2) + Times New Roman"/>
    <w:basedOn w:val="CharStyle7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Колонтитул + 5,5 pt"/>
    <w:basedOn w:val="CharStyle12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Колонтитул + Century Schoolbook"/>
    <w:basedOn w:val="CharStyle12"/>
    <w:rPr>
      <w:lang w:val="ru-RU" w:eastAsia="ru-RU" w:bidi="ru-RU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5,5 pt"/>
    <w:basedOn w:val="CharStyle7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Georgia,5 pt"/>
    <w:basedOn w:val="CharStyle7"/>
    <w:rPr>
      <w:lang w:val="ru-RU" w:eastAsia="ru-RU" w:bidi="ru-RU"/>
      <w:sz w:val="10"/>
      <w:szCs w:val="10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both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