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«О бюджете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«Онгудайский район» на 202</w:t>
      </w:r>
      <w:r w:rsidR="00E33390">
        <w:rPr>
          <w:rFonts w:ascii="Times New Roman" w:hAnsi="Times New Roman" w:cs="Times New Roman"/>
          <w:b/>
          <w:sz w:val="28"/>
          <w:szCs w:val="28"/>
        </w:rPr>
        <w:t>2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33390">
        <w:rPr>
          <w:rFonts w:ascii="Times New Roman" w:hAnsi="Times New Roman" w:cs="Times New Roman"/>
          <w:b/>
          <w:sz w:val="28"/>
          <w:szCs w:val="28"/>
        </w:rPr>
        <w:t>3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33390">
        <w:rPr>
          <w:rFonts w:ascii="Times New Roman" w:hAnsi="Times New Roman" w:cs="Times New Roman"/>
          <w:b/>
          <w:sz w:val="28"/>
          <w:szCs w:val="28"/>
        </w:rPr>
        <w:t>4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374D"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«</w:t>
      </w:r>
      <w:proofErr w:type="spellStart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EF704C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района (аймака) 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09.08.2021г ода №1084)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 проекта бюджета муниципального образования «Онгудайский район» на очередной финансовый год и плановый период», в соответствии с Методикой, утвержденной приказом</w:t>
      </w:r>
      <w:proofErr w:type="gramEnd"/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705D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района (аймака)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августа 2020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методике планирования бюджетных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бюджета муниципального образования «Онгудайский район» на очередной финансовый год и на плановый период»</w:t>
      </w:r>
      <w:r w:rsid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Pr="00144011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Российской Федерации Федеральному Собранию 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2021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</w:t>
      </w:r>
      <w:r w:rsidR="00D1426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2024 года, от 21 июл</w:t>
      </w:r>
      <w:r w:rsidR="00D1426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№474 «О национальных целях развития Российской Фе</w:t>
      </w:r>
      <w:r w:rsid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года»;</w:t>
      </w:r>
    </w:p>
    <w:p w:rsidR="00144011" w:rsidRPr="00144011" w:rsidRDefault="00144011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3937-р;</w:t>
      </w:r>
    </w:p>
    <w:p w:rsidR="00D1426E" w:rsidRDefault="00DF63FE" w:rsidP="00741812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 Алтай на 20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3390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постановлением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(аймака) от 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1235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Default="009C70F8" w:rsidP="0074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Главы района (аймака) </w:t>
      </w:r>
      <w:r w:rsidR="002705DE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94E2D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05DE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994E2D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664</w:t>
      </w:r>
      <w:r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70191E" w:rsidRPr="00741812" w:rsidRDefault="0070191E" w:rsidP="007418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lastRenderedPageBreak/>
        <w:t>Доходы  бюджета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на 202</w:t>
      </w:r>
      <w:r w:rsidR="00E33390">
        <w:rPr>
          <w:rFonts w:ascii="Times New Roman" w:hAnsi="Times New Roman" w:cs="Times New Roman"/>
          <w:b/>
          <w:sz w:val="28"/>
          <w:szCs w:val="28"/>
        </w:rPr>
        <w:t>2</w:t>
      </w:r>
      <w:r w:rsidR="00B61198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1426E">
        <w:rPr>
          <w:rFonts w:ascii="Times New Roman" w:hAnsi="Times New Roman" w:cs="Times New Roman"/>
          <w:b/>
          <w:sz w:val="28"/>
          <w:szCs w:val="28"/>
        </w:rPr>
        <w:t>ый период 202</w:t>
      </w:r>
      <w:r w:rsidR="00E33390">
        <w:rPr>
          <w:rFonts w:ascii="Times New Roman" w:hAnsi="Times New Roman" w:cs="Times New Roman"/>
          <w:b/>
          <w:sz w:val="28"/>
          <w:szCs w:val="28"/>
        </w:rPr>
        <w:t>3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33390">
        <w:rPr>
          <w:rFonts w:ascii="Times New Roman" w:hAnsi="Times New Roman" w:cs="Times New Roman"/>
          <w:b/>
          <w:sz w:val="28"/>
          <w:szCs w:val="28"/>
        </w:rPr>
        <w:t>4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D1426E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E33390">
        <w:rPr>
          <w:rFonts w:ascii="Times New Roman" w:hAnsi="Times New Roman" w:cs="Times New Roman"/>
          <w:sz w:val="28"/>
          <w:szCs w:val="28"/>
        </w:rPr>
        <w:t>2</w:t>
      </w:r>
      <w:r w:rsidR="00D142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E33390">
        <w:rPr>
          <w:rFonts w:ascii="Times New Roman" w:hAnsi="Times New Roman" w:cs="Times New Roman"/>
          <w:sz w:val="28"/>
          <w:szCs w:val="28"/>
        </w:rPr>
        <w:t>3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E33390">
        <w:rPr>
          <w:rFonts w:ascii="Times New Roman" w:hAnsi="Times New Roman" w:cs="Times New Roman"/>
          <w:sz w:val="28"/>
          <w:szCs w:val="28"/>
        </w:rPr>
        <w:t>4</w:t>
      </w:r>
      <w:r w:rsidR="00D1426E">
        <w:rPr>
          <w:rFonts w:ascii="Times New Roman" w:hAnsi="Times New Roman" w:cs="Times New Roman"/>
          <w:sz w:val="28"/>
          <w:szCs w:val="28"/>
        </w:rPr>
        <w:t xml:space="preserve">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 w:rsidR="00D1426E">
        <w:rPr>
          <w:rFonts w:ascii="Times New Roman" w:hAnsi="Times New Roman" w:cs="Times New Roman"/>
          <w:sz w:val="28"/>
          <w:szCs w:val="28"/>
        </w:rPr>
        <w:t>муниципального образования в 202</w:t>
      </w:r>
      <w:r w:rsidR="00E33390">
        <w:rPr>
          <w:rFonts w:ascii="Times New Roman" w:hAnsi="Times New Roman" w:cs="Times New Roman"/>
          <w:sz w:val="28"/>
          <w:szCs w:val="28"/>
        </w:rPr>
        <w:t>1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с 1 января 20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8A6" w:rsidRDefault="00D1426E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156843,4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135022,7</w:t>
      </w:r>
      <w:r w:rsidR="004B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21820,7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237B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18491,9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указанных доходов в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Default="002237B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498,31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157341,7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составя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159029,6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1687,9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</w:t>
      </w:r>
      <w:r w:rsidR="00186F5C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муниципального района на 202</w:t>
      </w:r>
      <w:r w:rsidR="00E3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proofErr w:type="gramEnd"/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</w:t>
      </w:r>
      <w:r w:rsidR="00E3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за 2020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69160,0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70240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72360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741812" w:rsidRDefault="003944EE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1090,0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   1100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70250,0 тыс. рублей;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  71320,0 тыс. рублей;</w:t>
      </w:r>
    </w:p>
    <w:p w:rsidR="00067E18" w:rsidRPr="003944EE" w:rsidRDefault="00AB38CA" w:rsidP="00AB3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  73460,0 тыс. рублей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B92" w:rsidRDefault="008D118E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0B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A2B90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EB3B92" w:rsidRDefault="003122B6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дифференцированных нормативов отчислений от акцизов на нефтепродукты, исходя из протяженности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(2021г. – 273,3 км, 2022г. – 293,5 км)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1,5011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13972,7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432F6">
        <w:rPr>
          <w:rFonts w:ascii="Times New Roman" w:eastAsia="Times New Roman" w:hAnsi="Times New Roman" w:cs="Times New Roman"/>
          <w:sz w:val="28"/>
          <w:szCs w:val="28"/>
          <w:lang w:eastAsia="ru-RU"/>
        </w:rPr>
        <w:t>14889,68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4E6212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432F6">
        <w:rPr>
          <w:rFonts w:ascii="Times New Roman" w:eastAsia="Times New Roman" w:hAnsi="Times New Roman" w:cs="Times New Roman"/>
          <w:sz w:val="28"/>
          <w:szCs w:val="28"/>
          <w:lang w:eastAsia="ru-RU"/>
        </w:rPr>
        <w:t>14799,37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3122B6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Налоги на совокупный доход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упрощенной</w:t>
      </w:r>
      <w:r w:rsidR="003122B6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налогообложения</w:t>
      </w:r>
    </w:p>
    <w:p w:rsidR="00883E61" w:rsidRPr="00883E61" w:rsidRDefault="00883E61" w:rsidP="00F80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 поступлений </w:t>
      </w:r>
      <w:r w:rsidR="003122B6" w:rsidRP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 (далее-УСН)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на основе данных Управления ФНС России по Республике Алтай формы № 5 - УСН «О налоговой базе и структуре начислений по налогу, взимаемый с применением упрощенной системы налогообложен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2020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Использован  показатель «Доходы», «Доходы, уменьшенные на величину расходов»,  оценки ожидаемого поступления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18100,0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18350,0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18450,0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620,0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2023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671,0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5A46F7" w:rsidRPr="00883E61" w:rsidRDefault="005A46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 (далее - ЕСХН)</w:t>
      </w:r>
    </w:p>
    <w:p w:rsidR="00F80FEF" w:rsidRPr="00883E61" w:rsidRDefault="00F80FEF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 поступлений УСН произведен на основе данных Управления ФНС России по Республике Алтай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на очередной финансовый год и плановый период (индекс потребительских цен и объем производства сельхозпродукции)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ожидаемого поступления в 2021 году с учетом темпа роста на плановые периоды.</w:t>
      </w:r>
      <w:proofErr w:type="gramEnd"/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составит, с учетом темпа роста на плановые периоды: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1505,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5A46F7" w:rsidRPr="00883E61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 на имущество организаций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произведен на основе отчетных данных УФНС России по Республике Алтай о налоговой базе и структуре начислений по налогу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организаций за 2020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поступления данного налога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  тыс. рублей, на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29000,0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29500,0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A46F7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 (далее-НДПИ)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НДПИ на 202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700,0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Расчет произведен на основе ожидаемого поступления данного налога в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учтено, что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на территории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проходили дорожно-ремонтные работы, в связи с этим велась добыча строительного камня сторонними организациями.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2A" w:rsidRPr="003122B6" w:rsidRDefault="00F16032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Сборы за пользование о</w:t>
      </w:r>
      <w:r w:rsidR="008E672A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бъектами животного мира (далее-Сборы)</w:t>
      </w:r>
    </w:p>
    <w:p w:rsidR="00F16032" w:rsidRPr="00F27F61" w:rsidRDefault="008E672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Сборы на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прогнозируется в сумме 60,0 тыс. рублей исходя из фактических значений 2021 года от единственного плательщик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О</w:t>
      </w:r>
      <w:proofErr w:type="gram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хотников и рыболовов </w:t>
      </w:r>
      <w:proofErr w:type="spellStart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«КОЧКОР».</w:t>
      </w:r>
    </w:p>
    <w:p w:rsidR="003122B6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государственной пошлины, включает в себя   госпошлины  по делам, рассматриваемым в судах общей юрисдикции, мировыми судьями (за исключением Верховного Суда Российской Федерации),  госпошлины  за выдачи разрешения на  установку рекламной конструкции и  госпошлина  за предоставление лицензий на розничную продажу алкогольной продукции.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государственной пошлины планировалось с учетом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поступлений за последние три года и исходя  ожидаемого поступления в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установленных размеров государственной пошлины Налоговым кодексом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государственной пошлины на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1815,0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1820,0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1770,0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госпошлина  за выдачи разрешения на  установку рекламной конструкции в плановые периоды прогнозируется в сумме  5,0 тыс. рублей ежегодно; </w:t>
      </w:r>
    </w:p>
    <w:p w:rsidR="00315DC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госпошлина  за предоставление лицензий на розничную продажу алкогольной продукции, прогнозируется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130,0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двух плательщиков по 65,0 тыс. рублей, на 2023 год-130,00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год-65,0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муниципальной собственности,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3888,0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2156,0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1936,0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осуществлен на основании данных главного администратора доходов – Администрация района (аймака) муниципального образования.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поступления:</w:t>
      </w:r>
    </w:p>
    <w:p w:rsidR="00883E61" w:rsidRPr="00F27F61" w:rsidRDefault="00883E61" w:rsidP="0031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  Поступление указанной платы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128,0 тыс. рублей, (от двух арендаторов ПАО «Вымпел коммуникации» – 36,0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Алтайкрайстат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92,0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на 2023-2024 годы в сумме 36,0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арендной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 исходя из годовой суммы арендных платежей по действующим договорам аренды (с учетом сроков их действия), доходов, от передачи  в  аренду земельных участков, государственная собственность на которые не разграничена и которые расположены в границах сельских поселений, а также в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взыскание задолженности прошлых лет.  Поступление указанного дохода прогнозируется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3760,0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2120,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воздействие на окружающую среду.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платы за негативное воздействие на окружающую среду 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осуществлялось исходя  из  динамики  поступлений,   на  основе  ожидаемой  оценки  поступлений  за 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платы  за негативное  воздействие на окружающую среду 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год-8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прогнозируется поступление доходов от продажи материальных и нематериальных активов 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3057,0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прогнозируется: 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плана (программы) приватизации муниципального имущества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557,0 тыс. рублей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земельных участков при оформлении в собственность физическими лицами 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883E61" w:rsidRPr="00F27F61" w:rsidRDefault="00883E61" w:rsidP="00F2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800,0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710,0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году–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730,0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штрафов,  санкций,  возмещения  ущерба на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оценки ожидаемого поступления указанных доходов 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в соответствии с проектом Закона  Республики Алтай  «О республиканском бюджете  Республики Алтай на 202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республи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бюджет)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безвозмездных поступлений в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в  202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 -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 2024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209919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 дотация на выравнивание бюджетной обеспеченности в 202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154012,7 тыс. рублей,  в 202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123210,2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 в 202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123210,2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F7661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предусмотрены в объемах: на 202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25494,0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202</w:t>
      </w:r>
      <w:r w:rsidR="006C72F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C72F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25328,3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 202</w:t>
      </w:r>
      <w:r w:rsidR="006C72F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22487,7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муниципального образования пл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поступление субсидий: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– 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4933,1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9E" w:rsidRPr="00F27F61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14484,0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3B049E" w:rsidP="003B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– 1140,8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молодых семей – 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528,7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поддержку отрасли культуры – 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158,8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 выплат вознаграждения за добровольную сдачу незаконно хранящегося оружия, боеприпасов, взрывчатых веществ и взрывчатых устройств  – 29,4 тыс. рублей;</w:t>
      </w:r>
    </w:p>
    <w:p w:rsidR="003B049E" w:rsidRPr="00F27F61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– 46,3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ежемесячной надбавки к заработной плате молодым специалистам в муниципальных образовательных организациях – 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1936,5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– 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900,0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- 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1336,4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предусмотрены в объемах: на 202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232122,3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84804,1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43742,1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планируется направить на реализацию 14 государственных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Республики Алтай и 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полномочий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из республиканского бюджета предусмотрены в объемах: на 202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54903,7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19732,0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20479,0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поступление: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19732,0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0F394B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индивидуальной программы социально-экономического развития Республики 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35171,7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проекте местного бюджета предусмотрены иные межбюджетные трансферты  на 202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90,0 тыс. рублей ежегодно,  от 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сельскими поселениями.</w:t>
      </w:r>
    </w:p>
    <w:p w:rsidR="00417CB4" w:rsidRPr="00F27F61" w:rsidRDefault="00417CB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проекте решения объем безвозмездных поступлений на 2022 год составит 466622,7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 год – 253164,6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 год – 210009,9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883E61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муниципального образования, муниципальный долг муниципального образования</w:t>
      </w:r>
    </w:p>
    <w:p w:rsidR="00417CB4" w:rsidRPr="00F27F61" w:rsidRDefault="00417CB4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5A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решение бюджет  муниципального образо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предлагается утвердить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бездефицитный (0,0тыс. рублей).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сформированы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обеспечения сбалансированности и устойчивости бюджета муниципального образования, соблюдения предельных ограничений объема муниципального долга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установленных статьей 107 Бюджетного кодекса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 проекту решения,  на 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планируется: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5000,00 тыс. рублей;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«Источники финансирования дефицита бюджета муниципального образования «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 проекту решение планируется: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5000,00 тыс. рублей соответственно.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202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 и на 1 января 202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рублей.</w:t>
      </w:r>
      <w:proofErr w:type="gramEnd"/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в 202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5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в 202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году-5000,0 тыс. рублей и в 202</w:t>
      </w:r>
      <w:r w:rsidR="005A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-5000,0 тыс. рублей.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задачами социально-экономического развития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623466,1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410506,3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369039,5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сформирована в соответствии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06.06.2019 №85-н "О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81 Бюджетного кодекса Российской Федерации в структуре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 резервный фонд Администрации 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тыс. рублей.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179.4. Бюджетного кодекса Российской Федерации в составе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предусмотрены бюджетные ассигнования Дорожного фонда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13972,7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14889,7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14799,4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184.1 Бюджетного кодекса Российской Федерации в составе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публичные нормативные обязательства соответственно в объеме: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5591,2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за счет средств республиканского бюджета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4595,1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-4595,1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период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5591,2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средств республиканского бюджета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-4595,1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996,1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в функциональной и программной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в полной мере отвечает принципам бюджетной системы Российской Федерации. </w:t>
      </w:r>
      <w:proofErr w:type="gramEnd"/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7769,6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7569,6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7569,6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расходы на содержание органов местного самоуправления.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ограничений, установленных статьей 136 Бюджетного кодекса Российской Федерации.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соответствии со статьей 184.1 Бюджетного кодекса Российской Федерации,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утверждены условно-утверждаемые расходы: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7016,5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AC1B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14116,5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разрезе муниципальных программ и непрограммных направлений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представлена в приложениях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муниципальных программ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сложилось следующим образом:</w:t>
      </w:r>
    </w:p>
    <w:p w:rsidR="0095115C" w:rsidRPr="00880E70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 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29.12.2018г №2058  и разработана для обеспечения высоких темпов экономического роста.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соисполнители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предпринимательства, туризма и ЖКХ; отдел сельского хозяйства;  АУ «Редакция газеты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объем производства продукции сельского хозяйства в хозяйствах всех категорий (в сопоставимых ценах)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в основной капитал; число субъектов малого и среднего предпринимательства; удовлетворенность граждан качеством предоставления государственных и муниципальных услуг численность занятых на малых предприятиях 75 чел., инвестиции в основной капитал за счет всех источников финансирования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реализации  муниципальной  программы  участвуют  следующие соисполнители: отдел сельского хозяйства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АУ «Районная газета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предусмотрены проектом решения в следующих объемах: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19014,50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623,70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18514,50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623,70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18514,50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республиканского  бюджетов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623,70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Муниципальная программа «Социальное развитие муниципального образования «</w:t>
      </w:r>
      <w:proofErr w:type="spellStart"/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Главы района (аймака) от 29.12.2018г №2055 и разработана для повышения благосостояния и обеспечения благоприятных условий жизни населения.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Отдел культуры, спорта и молодежной политики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показателей: удовлетворенность населения качеством предоставляемых услуг в сфере культуры -75%, увеличение доли граждан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систематически занимающихся физической культурой и спортом, в общей численности населения до 41%;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11,1%; 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заработной плате работников, занятых в сфере экономики региона до 100%;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планируется с</w:t>
      </w:r>
      <w:r w:rsidRPr="001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модельн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базе центральной библиотеки за счет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межбюджетныъх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в сумме 10000,0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«Социальное развитие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48834,60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12799,40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30759,00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2804,70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30762,50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2808,20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социальной поддержки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муниципальной программы «Социальное развитие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5115C" w:rsidRPr="00727C43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03 Муниципальная программа «Управление муниципальными финансами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 г. № 2057 и разработана для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механизмов и повышения эффективности муниципального управления.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Управление финансов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увеличение поступлений налоговых и неналоговых доходов в консолидированный бюджет муниципального образования на 2% за каждый год; отношение объема муниципального долга муниципального образования по состоянию на 1 января года, следующего за отчетным финансовым годом,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не более 20 процентов.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«Управление муниципальными финансами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31883,6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6185,9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31766,7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6109,0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31766,3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6108,6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реализации муниципальной программы в муниципальном образовании «Управление муниципальными финансами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 Муниципальная программа «Развитие систем жизнеобеспечения и повышение безопасности населения муниципального образования «</w:t>
      </w:r>
      <w:proofErr w:type="spellStart"/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880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Главы района (аймака) от 29.12.2018г №2056 и разработана для развития систем жизнеобеспечения и повышения безопасности населения.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Администратором программы является Администрация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муниципальной программы по организации эффективного функционирования систем жизнеобеспечения и безопасности населения характеризуется планируемыми задачами: повышение качества и доступности жилищно-коммунальных услуг, предоставляемых населению, при оптимизации затрат и применении новых технологий; улучшение транспортно-эксплуатационного состояния существующей сети автомобильных дорог и сооружений на них; поддержание целостности экосистем и жизнеобеспечивающих функций; 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необходимого уровня защиты населения и территорий от чрезвычайных ситуаций, обеспечение пожарной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безопасности людей на водных объектах, уровня защищенности прав и свобод человека и гражданина, уровня безопасности дорожного движения;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</w:r>
      <w:proofErr w:type="gramEnd"/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«Развитие систем жизнеобеспечения и повышение безопасности населения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63901,20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28098,90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38125,80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2631,40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 w:rsidR="00AA4D7E">
        <w:rPr>
          <w:rFonts w:ascii="Times New Roman" w:eastAsia="Times New Roman" w:hAnsi="Times New Roman" w:cs="Times New Roman"/>
          <w:sz w:val="28"/>
          <w:szCs w:val="28"/>
          <w:lang w:eastAsia="ru-RU"/>
        </w:rPr>
        <w:t>37657,2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2027,20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комплекса Обеспечение безопасности населения, Развитие инфраструктуры района, Развитие транспортной инфраструктуры, Противодействие коррупции, Обеспечение экологической безопасности и улучшение состояния окружающей среды, обеспечивающая подпрограмма - Материально-техническое обеспечение МКУ «По делам ГОЧС и ЕДДС МО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реализации муниципальной программы "Развитие систем жизнеобеспечения и повышение безопасности населения муниципального образования "</w:t>
      </w:r>
      <w:proofErr w:type="spellStart"/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 Муниципальная программа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A52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A52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29.12.2018г №2059 и разработана для повышения качества управления муниципальной собственностью и градостроительной деятельностью.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Администрация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муниципальной программы поставлены следующие задачи: обеспечение эффективного управления и распоряжения муниципальной собственностью; увеличение доходной части бюджета за счет сбора платежей за использование муниципальной собственности; определение направления перспективного развития и обеспечение нормативно-правового регулирования градостроительной деятельности;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населенных пунктов за счет неиспользуемых или используемых неэффективно земельных участков, обеспечение участков жилищного строительства инженерной, коммуникационной и социальной инфраструктурой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муниципальной программы входят следующие подпрограммы: «Управление муниципальной собственностью», «Градостроительная политика»,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беспечивающая подпрограмма  Материально – техническое обеспечение МКУ  "По обеспечению деятельно</w:t>
      </w:r>
      <w:bookmarkStart w:id="0" w:name="_GoBack"/>
      <w:bookmarkEnd w:id="0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Администрации района и Отдела капитального строительства муниципального образования "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Бюджетные  ассигнования  местного  бюджета  на  реализацию муниципальной программы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hAnsi="Times New Roman"/>
          <w:sz w:val="28"/>
          <w:szCs w:val="28"/>
        </w:rPr>
        <w:t xml:space="preserve">16167,0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12337,90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- 12337,90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 Муниципальная программа  «Развитие образования МО «</w:t>
      </w:r>
      <w:proofErr w:type="spellStart"/>
      <w:r w:rsidRPr="00A52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A52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14.08.2019г №1479.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дошкольного и общего образования;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расширение направленности программ дополнительного образования детей.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муниципальной программы входят следующие подпрограммы: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0F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условий для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муниципальном образовании «</w:t>
      </w:r>
      <w:proofErr w:type="spellStart"/>
      <w:r w:rsidRPr="0009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9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 программы предусматриваются  бюджетные ассигнования на реализацию регионального проекта: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 каждого ребенка»- с</w:t>
      </w:r>
      <w:r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года в размере 14459,7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2022 год-4943,1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год-6057,0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2024год -3459,6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муниципальной программы  предусмотрены проектом решения в следующих объемах: 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435895,60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264812,10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5115C" w:rsidRPr="0040509D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264416,30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117695,60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5115C" w:rsidRDefault="0095115C" w:rsidP="009511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216315,10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75142,00 тыс. рублей.</w:t>
      </w:r>
    </w:p>
    <w:p w:rsidR="0095115C" w:rsidRDefault="0095115C" w:rsidP="0095115C"/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соответствии со статьей 11 Положения о бюджетном процессе утвержденного решением  Совета депутатов района (аймака) от 20.03.2014г  №5-2 « О бюджетном процессе в муниципальном образовании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редакции решений от 24 марта 2016г №18-3, от 26 июня 2018г №36-3, от23 мая 2019 №7-3), для рассмотрения  в первом чтении, проектом решения предусмотрены следующие основные характеристики  бюджета муниципального образования </w:t>
      </w:r>
      <w:proofErr w:type="gramEnd"/>
    </w:p>
    <w:p w:rsidR="0095115C" w:rsidRPr="00C85951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годов:</w:t>
      </w:r>
    </w:p>
    <w:p w:rsidR="0095115C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 на 202</w:t>
      </w:r>
      <w:r w:rsid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623466,1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410506,3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369039,5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34B96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на 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623466,1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410506,3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369039,5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4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4B96"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935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муниципального образования  на 2022 год </w:t>
      </w:r>
      <w:r w:rsidR="00B9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  – 0,0 тыс. рублей;</w:t>
      </w:r>
    </w:p>
    <w:p w:rsidR="0095115C" w:rsidRPr="00C85951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 расходов бюджета муниципального образования на 202</w:t>
      </w:r>
      <w:r w:rsidR="009A12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9A124A">
        <w:rPr>
          <w:rFonts w:ascii="Times New Roman" w:eastAsia="Times New Roman" w:hAnsi="Times New Roman" w:cs="Times New Roman"/>
          <w:sz w:val="28"/>
          <w:szCs w:val="28"/>
          <w:lang w:eastAsia="ru-RU"/>
        </w:rPr>
        <w:t>7016,1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9A12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сумме- </w:t>
      </w:r>
      <w:r w:rsidR="009A124A">
        <w:rPr>
          <w:rFonts w:ascii="Times New Roman" w:eastAsia="Times New Roman" w:hAnsi="Times New Roman" w:cs="Times New Roman"/>
          <w:sz w:val="28"/>
          <w:szCs w:val="28"/>
          <w:lang w:eastAsia="ru-RU"/>
        </w:rPr>
        <w:t>14116,5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83E61" w:rsidRDefault="00883E61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E61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07C72"/>
    <w:rsid w:val="00045E20"/>
    <w:rsid w:val="00064482"/>
    <w:rsid w:val="0006464C"/>
    <w:rsid w:val="00066138"/>
    <w:rsid w:val="00067E18"/>
    <w:rsid w:val="00095C8A"/>
    <w:rsid w:val="000A246B"/>
    <w:rsid w:val="000A69AC"/>
    <w:rsid w:val="000E26F7"/>
    <w:rsid w:val="000F394B"/>
    <w:rsid w:val="00115632"/>
    <w:rsid w:val="001174B7"/>
    <w:rsid w:val="001202A1"/>
    <w:rsid w:val="00134B96"/>
    <w:rsid w:val="00144011"/>
    <w:rsid w:val="001522E6"/>
    <w:rsid w:val="00173A37"/>
    <w:rsid w:val="00180EF8"/>
    <w:rsid w:val="00183312"/>
    <w:rsid w:val="0018447E"/>
    <w:rsid w:val="00186F5C"/>
    <w:rsid w:val="001A1686"/>
    <w:rsid w:val="001B67E1"/>
    <w:rsid w:val="001F021B"/>
    <w:rsid w:val="001F10BF"/>
    <w:rsid w:val="002201B8"/>
    <w:rsid w:val="002237B6"/>
    <w:rsid w:val="002424A8"/>
    <w:rsid w:val="002429AB"/>
    <w:rsid w:val="0025280E"/>
    <w:rsid w:val="002538E7"/>
    <w:rsid w:val="002705DE"/>
    <w:rsid w:val="002850CB"/>
    <w:rsid w:val="00293EB4"/>
    <w:rsid w:val="00294039"/>
    <w:rsid w:val="002A6696"/>
    <w:rsid w:val="002A7C4B"/>
    <w:rsid w:val="002C48DA"/>
    <w:rsid w:val="002C7DDF"/>
    <w:rsid w:val="002E3A84"/>
    <w:rsid w:val="002F445D"/>
    <w:rsid w:val="00311CC2"/>
    <w:rsid w:val="003122B6"/>
    <w:rsid w:val="00315DC0"/>
    <w:rsid w:val="0036208B"/>
    <w:rsid w:val="00363EA2"/>
    <w:rsid w:val="003713D5"/>
    <w:rsid w:val="003944EE"/>
    <w:rsid w:val="003A1001"/>
    <w:rsid w:val="003A5B35"/>
    <w:rsid w:val="003B049E"/>
    <w:rsid w:val="003C2BC8"/>
    <w:rsid w:val="003F47B5"/>
    <w:rsid w:val="00417CB4"/>
    <w:rsid w:val="004238AA"/>
    <w:rsid w:val="004466A5"/>
    <w:rsid w:val="0046284E"/>
    <w:rsid w:val="004662BD"/>
    <w:rsid w:val="00471FA2"/>
    <w:rsid w:val="004747BD"/>
    <w:rsid w:val="004967AD"/>
    <w:rsid w:val="004B411C"/>
    <w:rsid w:val="004B649A"/>
    <w:rsid w:val="004D0909"/>
    <w:rsid w:val="004D1B09"/>
    <w:rsid w:val="004D5DED"/>
    <w:rsid w:val="004E6212"/>
    <w:rsid w:val="0050600B"/>
    <w:rsid w:val="00530678"/>
    <w:rsid w:val="00540419"/>
    <w:rsid w:val="00543A27"/>
    <w:rsid w:val="00554B64"/>
    <w:rsid w:val="00586A88"/>
    <w:rsid w:val="00595E4A"/>
    <w:rsid w:val="005A2334"/>
    <w:rsid w:val="005A46F7"/>
    <w:rsid w:val="005C1AA9"/>
    <w:rsid w:val="005C7E93"/>
    <w:rsid w:val="005D1423"/>
    <w:rsid w:val="005E0423"/>
    <w:rsid w:val="005E6276"/>
    <w:rsid w:val="005F462C"/>
    <w:rsid w:val="00602C8C"/>
    <w:rsid w:val="00632C2B"/>
    <w:rsid w:val="00633B85"/>
    <w:rsid w:val="00635349"/>
    <w:rsid w:val="00666410"/>
    <w:rsid w:val="00672F96"/>
    <w:rsid w:val="00683669"/>
    <w:rsid w:val="006A73F2"/>
    <w:rsid w:val="006B186B"/>
    <w:rsid w:val="006B308F"/>
    <w:rsid w:val="006C72F1"/>
    <w:rsid w:val="006D68D9"/>
    <w:rsid w:val="006E5627"/>
    <w:rsid w:val="0070191E"/>
    <w:rsid w:val="0070308F"/>
    <w:rsid w:val="007177DA"/>
    <w:rsid w:val="007332EC"/>
    <w:rsid w:val="00741812"/>
    <w:rsid w:val="00742F26"/>
    <w:rsid w:val="007432F6"/>
    <w:rsid w:val="00763479"/>
    <w:rsid w:val="00770725"/>
    <w:rsid w:val="007A2F77"/>
    <w:rsid w:val="007C2BFC"/>
    <w:rsid w:val="007C374D"/>
    <w:rsid w:val="007D6922"/>
    <w:rsid w:val="007E611B"/>
    <w:rsid w:val="007F3608"/>
    <w:rsid w:val="00811825"/>
    <w:rsid w:val="00816BCC"/>
    <w:rsid w:val="00817FED"/>
    <w:rsid w:val="0087252E"/>
    <w:rsid w:val="00876489"/>
    <w:rsid w:val="00876F34"/>
    <w:rsid w:val="00883E61"/>
    <w:rsid w:val="008A0A7A"/>
    <w:rsid w:val="008A3A20"/>
    <w:rsid w:val="008C6324"/>
    <w:rsid w:val="008D118E"/>
    <w:rsid w:val="008E672A"/>
    <w:rsid w:val="008F08D7"/>
    <w:rsid w:val="008F352F"/>
    <w:rsid w:val="00917DE9"/>
    <w:rsid w:val="0094525D"/>
    <w:rsid w:val="0095115C"/>
    <w:rsid w:val="00951E6F"/>
    <w:rsid w:val="009530DA"/>
    <w:rsid w:val="00960B3F"/>
    <w:rsid w:val="00987D2D"/>
    <w:rsid w:val="00994E2D"/>
    <w:rsid w:val="009A124A"/>
    <w:rsid w:val="009A78EC"/>
    <w:rsid w:val="009C14F3"/>
    <w:rsid w:val="009C1CEF"/>
    <w:rsid w:val="009C70F8"/>
    <w:rsid w:val="009E2D2A"/>
    <w:rsid w:val="00A33AD9"/>
    <w:rsid w:val="00A34F35"/>
    <w:rsid w:val="00A614CC"/>
    <w:rsid w:val="00A70B2A"/>
    <w:rsid w:val="00A8236C"/>
    <w:rsid w:val="00A8245B"/>
    <w:rsid w:val="00A87A0E"/>
    <w:rsid w:val="00A9141E"/>
    <w:rsid w:val="00AA4D7E"/>
    <w:rsid w:val="00AB38CA"/>
    <w:rsid w:val="00AC1B28"/>
    <w:rsid w:val="00AC2B9C"/>
    <w:rsid w:val="00B07EDC"/>
    <w:rsid w:val="00B13006"/>
    <w:rsid w:val="00B23260"/>
    <w:rsid w:val="00B40E94"/>
    <w:rsid w:val="00B61198"/>
    <w:rsid w:val="00B61248"/>
    <w:rsid w:val="00B75037"/>
    <w:rsid w:val="00B94522"/>
    <w:rsid w:val="00B96935"/>
    <w:rsid w:val="00BA36B5"/>
    <w:rsid w:val="00BC11F9"/>
    <w:rsid w:val="00BC6142"/>
    <w:rsid w:val="00BD1A3F"/>
    <w:rsid w:val="00BE2236"/>
    <w:rsid w:val="00C05688"/>
    <w:rsid w:val="00C44833"/>
    <w:rsid w:val="00C85951"/>
    <w:rsid w:val="00C86533"/>
    <w:rsid w:val="00C90579"/>
    <w:rsid w:val="00C94489"/>
    <w:rsid w:val="00C9527D"/>
    <w:rsid w:val="00CA50BC"/>
    <w:rsid w:val="00CC2574"/>
    <w:rsid w:val="00CC38A6"/>
    <w:rsid w:val="00D1426E"/>
    <w:rsid w:val="00D16A54"/>
    <w:rsid w:val="00D53B3D"/>
    <w:rsid w:val="00D64FCA"/>
    <w:rsid w:val="00D6780B"/>
    <w:rsid w:val="00D777A1"/>
    <w:rsid w:val="00D82C6E"/>
    <w:rsid w:val="00DB482E"/>
    <w:rsid w:val="00DE2526"/>
    <w:rsid w:val="00DF63FE"/>
    <w:rsid w:val="00DF7646"/>
    <w:rsid w:val="00E17CDD"/>
    <w:rsid w:val="00E267CB"/>
    <w:rsid w:val="00E31A34"/>
    <w:rsid w:val="00E31D4F"/>
    <w:rsid w:val="00E33390"/>
    <w:rsid w:val="00E53D1A"/>
    <w:rsid w:val="00E5647F"/>
    <w:rsid w:val="00EA1BA3"/>
    <w:rsid w:val="00EB2522"/>
    <w:rsid w:val="00EB3B92"/>
    <w:rsid w:val="00ED2850"/>
    <w:rsid w:val="00ED4A4B"/>
    <w:rsid w:val="00EE4E78"/>
    <w:rsid w:val="00EF704C"/>
    <w:rsid w:val="00F16032"/>
    <w:rsid w:val="00F163E6"/>
    <w:rsid w:val="00F22183"/>
    <w:rsid w:val="00F27F61"/>
    <w:rsid w:val="00F52CF3"/>
    <w:rsid w:val="00F73D13"/>
    <w:rsid w:val="00F7661A"/>
    <w:rsid w:val="00F76849"/>
    <w:rsid w:val="00F80FEF"/>
    <w:rsid w:val="00F9175C"/>
    <w:rsid w:val="00FA2B90"/>
    <w:rsid w:val="00FC3CF3"/>
    <w:rsid w:val="00FC5A90"/>
    <w:rsid w:val="00FC643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14</cp:revision>
  <cp:lastPrinted>2021-11-10T10:15:00Z</cp:lastPrinted>
  <dcterms:created xsi:type="dcterms:W3CDTF">2020-12-07T01:33:00Z</dcterms:created>
  <dcterms:modified xsi:type="dcterms:W3CDTF">2021-11-12T03:41:00Z</dcterms:modified>
</cp:coreProperties>
</file>