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5" w:line="154" w:lineRule="exact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2022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9"/>
              </w:rPr>
              <w:t>Нижне-</w:t>
            </w:r>
          </w:p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80" w:right="0" w:firstLine="0"/>
            </w:pPr>
            <w:r>
              <w:rPr>
                <w:rStyle w:val="CharStyle9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9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0"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9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9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25 893,90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3 017,61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2 356,12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2 986,03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1 861,19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2 535,60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2 367,45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2 890,26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10"/>
              </w:rPr>
              <w:t>3 949,30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0"/>
              </w:rPr>
              <w:t>950,00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2" w:left="476" w:right="409" w:bottom="241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9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