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 к пояснительной записке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проекту решения "О бюджете муниципального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"Онгудайский район"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72"/>
        <w:ind w:left="6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2021 год и на плановый период 2022 и 2023 годов"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6" w:line="150" w:lineRule="exact"/>
        <w:ind w:left="1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2.3pt;margin-top:-1.65pt;width:11.3pt;height:10.15pt;z-index:-125829376;mso-wrap-distance-left:66.25pt;mso-wrap-distance-right:5.pt;mso-wrap-distance-bottom:6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на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Расчет поступлений налога на доходы физических лиц в бюджет муниципального образования "Онгудайского района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4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2021 год</w:t>
      </w:r>
    </w:p>
    <w:tbl>
      <w:tblPr>
        <w:tblOverlap w:val="never"/>
        <w:tblLayout w:type="fixed"/>
        <w:jc w:val="center"/>
      </w:tblPr>
      <w:tblGrid>
        <w:gridCol w:w="6773"/>
        <w:gridCol w:w="1781"/>
        <w:gridCol w:w="1877"/>
      </w:tblGrid>
      <w:tr>
        <w:trPr>
          <w:trHeight w:val="76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Показатели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360" w:right="0" w:firstLine="0"/>
            </w:pPr>
            <w:r>
              <w:rPr>
                <w:rStyle w:val="CharStyle10"/>
              </w:rPr>
              <w:t>Прогноз поступлений налога на доходы физических лиц на 2021 год, тыс. рублей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3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0"/>
              </w:rPr>
              <w:t>в консолидированный бюджет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"/>
              </w:rPr>
              <w:t>в бюджет МО "Онгудайский район”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10"/>
              </w:rPr>
              <w:t>1. Налог на доходы физических лиц с доходов, облагаемых по ставке 13%, полученных физическими лицами, источниками которых являются налоговые агенты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Общая сумма дохода физических лиц, получивших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972 050,0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1"/>
              </w:rPr>
              <w:t>Общая сумма необлагаемых доходов и налоговых вычетов, предоставленных налоговыми агентами, уменьшающих общую сумму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81 450,0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Облагаемая сумма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890 600,0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Сумма исчисленного налога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115 778,0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61 362,3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1"/>
              </w:rPr>
              <w:t>Возврат налога на доходы физических лиц физическим лицам в соответствии с представлением налоговых вычетов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1 813,0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960,9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Дополнительные поступления налога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0"/>
              </w:rPr>
              <w:t>Итого сумма налога на доходы физических лиц с доходов, облагаемых по ставке 13%, полученных физическими лицами, источниками которых являются налоговые агенты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113 965,0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60 401,5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2. Налог на доходы физических лиц с прочих видов доходных источников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</w:rPr>
              <w:t>2. 1.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практикой,адвокатов, учредивших адвокатские кабинеты и других лиц, занимающихся частной практикой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191,1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2.2.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674,4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357,4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</w:rPr>
              <w:t>2.3. 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Итого сумма налога на доходы физических лиц с прочих видов доходных источников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114 994,6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4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60 950,0</w:t>
            </w:r>
          </w:p>
        </w:tc>
      </w:tr>
    </w:tbl>
    <w:p>
      <w:pPr>
        <w:framePr w:w="104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"/>
          <w:headerReference w:type="default" r:id="rId6"/>
          <w:titlePg/>
          <w:footnotePr>
            <w:pos w:val="pageBottom"/>
            <w:numFmt w:val="decimal"/>
            <w:numRestart w:val="continuous"/>
          </w:footnotePr>
          <w:pgSz w:w="11900" w:h="16840"/>
          <w:pgMar w:top="263" w:left="992" w:right="462" w:bottom="26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120" w:right="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пояснительной записке к проекту решения " О бюджете муниципального образования "Онгудайский район" на 2021 год и на плановый период 2022-2023 годов"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поступлений налога,взимаемый в связи с применением упрощенной системы</w:t>
        <w:br/>
        <w:t>налогообложения в бюджет муниципального образования "Онгудайский район" на 2021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12"/>
        <w:ind w:left="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tbl>
      <w:tblPr>
        <w:tblOverlap w:val="never"/>
        <w:tblLayout w:type="fixed"/>
        <w:jc w:val="center"/>
      </w:tblPr>
      <w:tblGrid>
        <w:gridCol w:w="326"/>
        <w:gridCol w:w="4363"/>
        <w:gridCol w:w="3768"/>
      </w:tblGrid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п/</w:t>
            </w:r>
          </w:p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9"/>
              </w:rPr>
              <w:t>Прогноз поступлений УСН на 2021 год, тыс.рублей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Налоговая база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203 968,0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доходы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171 563,0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32 405,0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Налоговая ставка (%.)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доходы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80" w:right="0" w:firstLine="0"/>
            </w:pPr>
            <w:r>
              <w:rPr>
                <w:rStyle w:val="CharStyle19"/>
              </w:rPr>
              <w:t>6,0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15,0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Сумма исчисленного налога за налоговый период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15 154,5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налога с доходов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10 293,8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360" w:right="0" w:firstLine="0"/>
            </w:pPr>
            <w:r>
              <w:rPr>
                <w:rStyle w:val="CharStyle19"/>
              </w:rPr>
              <w:t>налога с доходов, уменьшенных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4 860,8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Сумма налога за 1 квартал отчетного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3 272,6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налога с доходов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1 449,0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19"/>
              </w:rPr>
              <w:t>налога с доходов, уменьшенных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1 823,6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Итого сумма налога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14 008,9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налога с доходов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9 425,3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19"/>
              </w:rPr>
              <w:t>налога с доходов, уменьшенных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4 583,6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Норматив отчисления в бюджет муниципального образования,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налога с доходов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19"/>
              </w:rPr>
              <w:t>налога с доходов, уменьшенных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100,0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Дополнительные поступления налога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80" w:right="0" w:firstLine="0"/>
            </w:pPr>
            <w:r>
              <w:rPr>
                <w:rStyle w:val="CharStyle19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налога с доходов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360" w:right="0" w:firstLine="0"/>
            </w:pPr>
            <w:r>
              <w:rPr>
                <w:rStyle w:val="CharStyle19"/>
              </w:rPr>
              <w:t>налога с доходов, уменьшенных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0"/>
              </w:rPr>
              <w:t>Прогноз поступлений налога У СН в бюджет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20"/>
              </w:rPr>
              <w:t>14 008,9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19"/>
              </w:rPr>
              <w:t>налога с доходов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9 425,3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58" w:hSpace="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360" w:right="0" w:firstLine="0"/>
            </w:pPr>
            <w:r>
              <w:rPr>
                <w:rStyle w:val="CharStyle19"/>
              </w:rPr>
              <w:t>налога с доходов, уменьшенных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9"/>
              </w:rPr>
              <w:t>4 583,6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Прогноз поступлений налога, взимаемый в связи с применением патентной системы налогообложения в бюджет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8458" w:hSpace="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20"/>
              </w:rPr>
              <w:t>3 045,1</w:t>
            </w:r>
          </w:p>
        </w:tc>
      </w:tr>
    </w:tbl>
    <w:p>
      <w:pPr>
        <w:framePr w:w="8458" w:hSpace="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487" w:left="992" w:right="462" w:bottom="14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52"/>
        <w:ind w:left="5900" w:right="1420" w:firstLine="1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 к пояснительной записке к проекту решения " О бюджете муниципального образования "Онгудайский район" на 2021 год и на плановый период 2022-2023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541" w:line="298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поступлений единого налога на</w:t>
        <w:br/>
        <w:t>вмененный доход для отдельных видов</w:t>
        <w:br/>
        <w:t>деятельности в бюджет муниципального</w:t>
        <w:br/>
        <w:t>образования "Онгудайский район" на 2021 год</w:t>
      </w:r>
    </w:p>
    <w:tbl>
      <w:tblPr>
        <w:tblOverlap w:val="never"/>
        <w:tblLayout w:type="fixed"/>
        <w:jc w:val="left"/>
      </w:tblPr>
      <w:tblGrid>
        <w:gridCol w:w="610"/>
        <w:gridCol w:w="5242"/>
        <w:gridCol w:w="3278"/>
      </w:tblGrid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21"/>
              </w:rPr>
              <w:t>№</w:t>
            </w:r>
          </w:p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2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Наименование показателей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Прогноз поступлений ЕНВД на 2021 год, тыс.рублей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Налоговая база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83 775,0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Налоговая ставка,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15,0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коэффициент К1 за 2020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2,0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коэффициент К2 за 2020 год среднее 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Сумма исчисленного налога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6 374,4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Сумма налога за 1 квартал отчетного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1 510,0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Сумма налога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4 780,8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Итого сумма налога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1 100,0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Норматив отчисления в бюджет муниципального образования,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1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22"/>
              </w:rPr>
              <w:t>Прогноз поступлений налога в бюджет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22"/>
              </w:rPr>
              <w:t>1 100,0</w:t>
            </w:r>
          </w:p>
        </w:tc>
      </w:tr>
    </w:tbl>
    <w:p>
      <w:pPr>
        <w:framePr w:w="913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7"/>
          <w:headerReference w:type="default" r:id="rId8"/>
          <w:titlePg/>
          <w:pgSz w:w="11900" w:h="16840"/>
          <w:pgMar w:top="1079" w:left="992" w:right="462" w:bottom="1079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5900" w:right="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пояснительной записке к проекту решения " О бюджете муниципального образования "Онгудайский район" на 2021 год и на плановый период 2022-2023 годов"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5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поступлений единого сельскохозяйственного налога в бюджет муниципального</w:t>
        <w:br/>
        <w:t>образования "Онгудайский район" на 2021 год</w:t>
      </w:r>
    </w:p>
    <w:tbl>
      <w:tblPr>
        <w:tblOverlap w:val="never"/>
        <w:tblLayout w:type="fixed"/>
        <w:jc w:val="center"/>
      </w:tblPr>
      <w:tblGrid>
        <w:gridCol w:w="557"/>
        <w:gridCol w:w="5299"/>
        <w:gridCol w:w="4013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27"/>
              </w:rPr>
              <w:t>№</w:t>
            </w:r>
          </w:p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2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Наименование показателей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</w:rPr>
              <w:t>Прогноз поступлений ЕСХН на 2021 год, тыс.рублей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Налоговая база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100" w:right="0" w:firstLine="0"/>
            </w:pPr>
            <w:r>
              <w:rPr>
                <w:rStyle w:val="CharStyle27"/>
              </w:rPr>
              <w:t>28 140,0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Ставка налога,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6%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Сумма исчисленного налога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100" w:right="0" w:firstLine="0"/>
            </w:pPr>
            <w:r>
              <w:rPr>
                <w:rStyle w:val="CharStyle27"/>
              </w:rPr>
              <w:t>1 688,4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Итого сумма налога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100" w:right="0" w:firstLine="0"/>
            </w:pPr>
            <w:r>
              <w:rPr>
                <w:rStyle w:val="CharStyle27"/>
              </w:rPr>
              <w:t>1 579,0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7"/>
              </w:rPr>
              <w:t>Норматив отчисления в бюджет муниципального образования,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7"/>
              </w:rPr>
              <w:t>70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Прогноз поступлений налога в бюджет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8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100" w:right="0" w:firstLine="0"/>
            </w:pPr>
            <w:r>
              <w:rPr>
                <w:rStyle w:val="CharStyle28"/>
              </w:rPr>
              <w:t>1 105,3</w:t>
            </w:r>
          </w:p>
        </w:tc>
      </w:tr>
    </w:tbl>
    <w:p>
      <w:pPr>
        <w:framePr w:w="98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443" w:left="992" w:right="462" w:bottom="1443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202"/>
        <w:ind w:left="706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пояснительной записке к решению " О бюджете муниципального образования "Онгудайский район" на 2021 год и на плановый период 2022 и 2023 годов"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" w:line="150" w:lineRule="exact"/>
        <w:ind w:left="1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поступлений налога на имущество организаций в бюджет муниципального образования "Онгудайский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90" w:line="150" w:lineRule="exact"/>
        <w:ind w:left="4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район" на 2021 год</w:t>
      </w:r>
    </w:p>
    <w:tbl>
      <w:tblPr>
        <w:tblOverlap w:val="never"/>
        <w:tblLayout w:type="fixed"/>
        <w:jc w:val="center"/>
      </w:tblPr>
      <w:tblGrid>
        <w:gridCol w:w="586"/>
        <w:gridCol w:w="5741"/>
        <w:gridCol w:w="2851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0"/>
              </w:rPr>
              <w:t>Прогноз поступлений налога на имущество организаций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Эффективная ставка налога на имущество организаций в 2020 году,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0,88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Налоговая база для исчисления налога на имущество организаций за 2020 год, тыс.руб.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6 680 420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Сумма налога на имущество организаций за 2020 год, тыс. руб.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58 641,0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сумма налога на имущество организаций подлежащая уплате в 2021 году (годовые расчеты за 2020 год), тыс.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58 641,0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Эффективная ставка налога на имущество организаций в 2021 году,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0,48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Налоговая база для исчисления налога на имущество организаций за 2021 год, тыс.руб.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6 539 047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Сумма налога на имущество организаций за 2021 год, тыс.руб.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31 450,0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сумма авансовых платежей по налогу на имущество организаций подлежащих уплате в 2021 году (квартальные расчеты), тыс.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5 700,0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Дополнительные поступления налога на имущество организаций с кадастровой стоимости офисов, торговых объектов, объектов общественного питания и бытового обслуживания, тыс.руб.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Сумма налога на имущество организаций подлежащая уплате в 2021году, тыс. ру</w:t>
            </w:r>
            <w:r>
              <w:rPr>
                <w:rStyle w:val="CharStyle11"/>
                <w:vertAlign w:val="superscript"/>
              </w:rPr>
              <w:t>б</w:t>
            </w:r>
            <w:r>
              <w:rPr>
                <w:rStyle w:val="CharStyle11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64 341,0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Уровень собираемости налога на имущество организаций,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96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Сумма налога на имущество организаций подлежащая уплате в 2021 году с учетом уровня собираемости, тыс.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61 000,0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Дополнительные поступления налога на имущество организаций, тыс.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Общая сумма налога на имущество организаций, подлежащая уплате в консолидированный бюджет Республики Алтай в 2021 году, тыс.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61 000,0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0"/>
              </w:rPr>
              <w:t>Сумма налога на имущество организаций, подлежащая уплате в бюджет муниципального образования в 2021 году, тыс.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1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30 500,0</w:t>
            </w:r>
          </w:p>
        </w:tc>
      </w:tr>
    </w:tbl>
    <w:p>
      <w:pPr>
        <w:framePr w:w="91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746" w:left="992" w:right="462" w:bottom="174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55.6pt;margin-top:57.4pt;width:58.8pt;height:8.6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55.6pt;margin-top:57.4pt;width:58.8pt;height:8.6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55.6pt;margin-top:57.4pt;width:58.8pt;height:8.6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402.2pt;margin-top:72.05pt;width:43.2pt;height:6.2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3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Основной текст (4)_"/>
    <w:basedOn w:val="DefaultParagraphFont"/>
    <w:link w:val="Style3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2) + 7,5 pt,Полужирный"/>
    <w:basedOn w:val="CharStyle9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1">
    <w:name w:val="Основной текст (2) + 7,5 pt"/>
    <w:basedOn w:val="CharStyle9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">
    <w:name w:val="Колонтитул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6">
    <w:name w:val="Колонтитул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6)_"/>
    <w:basedOn w:val="DefaultParagraphFont"/>
    <w:link w:val="Style1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Основной текст (2) + 9 pt"/>
    <w:basedOn w:val="CharStyle9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0">
    <w:name w:val="Основной текст (2) + 9 pt,Полужирный"/>
    <w:basedOn w:val="CharStyle9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1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2) + Полужирный"/>
    <w:basedOn w:val="CharStyle9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Основной текст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6">
    <w:name w:val="Основной текст (8)_"/>
    <w:basedOn w:val="DefaultParagraphFont"/>
    <w:link w:val="Style2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7">
    <w:name w:val="Основной текст (2) + 10,5 pt"/>
    <w:basedOn w:val="CharStyle9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28">
    <w:name w:val="Основной текст (2) + 10,5 pt,Полужирный"/>
    <w:basedOn w:val="CharStyle9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0">
    <w:name w:val="Основной текст (9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31">
    <w:name w:val="Колонтитул + 7 pt"/>
    <w:basedOn w:val="CharStyle15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7"/>
    <w:pPr>
      <w:widowControl w:val="0"/>
      <w:shd w:val="clear" w:color="auto" w:fill="FFFFFF"/>
      <w:spacing w:before="30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240" w:line="31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jc w:val="center"/>
      <w:spacing w:line="24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3">
    <w:name w:val="Основной текст (7)"/>
    <w:basedOn w:val="Normal"/>
    <w:link w:val="CharStyle24"/>
    <w:pPr>
      <w:widowControl w:val="0"/>
      <w:shd w:val="clear" w:color="auto" w:fill="FFFFFF"/>
      <w:spacing w:after="12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5">
    <w:name w:val="Основной текст (8)"/>
    <w:basedOn w:val="Normal"/>
    <w:link w:val="CharStyle26"/>
    <w:pPr>
      <w:widowControl w:val="0"/>
      <w:shd w:val="clear" w:color="auto" w:fill="FFFFFF"/>
      <w:jc w:val="center"/>
      <w:spacing w:before="120" w:after="540" w:line="27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9">
    <w:name w:val="Основной текст (9)"/>
    <w:basedOn w:val="Normal"/>
    <w:link w:val="CharStyle30"/>
    <w:pPr>
      <w:widowControl w:val="0"/>
      <w:shd w:val="clear" w:color="auto" w:fill="FFFFFF"/>
      <w:spacing w:after="180"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trial</dc:creator>
  <cp:keywords/>
</cp:coreProperties>
</file>