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Y="77"/>
        <w:tblW w:w="9994" w:type="dxa"/>
        <w:tblLayout w:type="fixed"/>
        <w:tblCellMar>
          <w:left w:w="71" w:type="dxa"/>
          <w:right w:w="71" w:type="dxa"/>
        </w:tblCellMar>
        <w:tblLook w:val="00A0" w:firstRow="1" w:lastRow="0" w:firstColumn="1" w:lastColumn="0" w:noHBand="0" w:noVBand="0"/>
      </w:tblPr>
      <w:tblGrid>
        <w:gridCol w:w="4230"/>
        <w:gridCol w:w="1179"/>
        <w:gridCol w:w="4585"/>
      </w:tblGrid>
      <w:tr w:rsidR="00C106F9" w:rsidRPr="00286180" w:rsidTr="00267B25">
        <w:trPr>
          <w:cantSplit/>
          <w:trHeight w:val="2157"/>
        </w:trPr>
        <w:tc>
          <w:tcPr>
            <w:tcW w:w="4230" w:type="dxa"/>
            <w:tcBorders>
              <w:top w:val="nil"/>
              <w:left w:val="nil"/>
              <w:bottom w:val="thickThinSmallGap" w:sz="24" w:space="0" w:color="auto"/>
              <w:right w:val="nil"/>
            </w:tcBorders>
          </w:tcPr>
          <w:p w:rsidR="00C106F9" w:rsidRPr="00286180" w:rsidRDefault="00C106F9" w:rsidP="00C106F9">
            <w:pPr>
              <w:spacing w:after="0"/>
              <w:ind w:right="-71"/>
              <w:rPr>
                <w:rFonts w:ascii="Times New Roman" w:hAnsi="Times New Roman" w:cs="Times New Roman"/>
                <w:sz w:val="28"/>
                <w:szCs w:val="28"/>
                <w:lang w:eastAsia="ru-RU"/>
              </w:rPr>
            </w:pPr>
            <w:r w:rsidRPr="00286180">
              <w:rPr>
                <w:rFonts w:ascii="Times New Roman" w:hAnsi="Times New Roman" w:cs="Times New Roman"/>
                <w:sz w:val="28"/>
                <w:szCs w:val="28"/>
                <w:lang w:eastAsia="ru-RU"/>
              </w:rPr>
              <w:t xml:space="preserve">             Российская Федерация</w:t>
            </w:r>
          </w:p>
          <w:p w:rsidR="00C106F9" w:rsidRPr="00286180" w:rsidRDefault="00C106F9" w:rsidP="00C106F9">
            <w:pPr>
              <w:spacing w:after="0"/>
              <w:ind w:right="-71"/>
              <w:rPr>
                <w:rFonts w:ascii="Times New Roman" w:hAnsi="Times New Roman" w:cs="Times New Roman"/>
                <w:sz w:val="28"/>
                <w:szCs w:val="28"/>
                <w:lang w:eastAsia="ru-RU"/>
              </w:rPr>
            </w:pPr>
            <w:r w:rsidRPr="00286180">
              <w:rPr>
                <w:rFonts w:ascii="Times New Roman" w:hAnsi="Times New Roman" w:cs="Times New Roman"/>
                <w:sz w:val="28"/>
                <w:szCs w:val="28"/>
                <w:lang w:eastAsia="ru-RU"/>
              </w:rPr>
              <w:t xml:space="preserve">               Республика Алтай</w:t>
            </w:r>
          </w:p>
          <w:p w:rsidR="00C106F9" w:rsidRPr="00286180" w:rsidRDefault="00C03B13" w:rsidP="00C106F9">
            <w:pPr>
              <w:spacing w:after="0"/>
              <w:ind w:right="-71"/>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Хабаровское</w:t>
            </w:r>
          </w:p>
          <w:p w:rsidR="00C106F9" w:rsidRPr="00286180" w:rsidRDefault="00C106F9" w:rsidP="00C106F9">
            <w:pPr>
              <w:spacing w:after="0"/>
              <w:ind w:right="-71"/>
              <w:jc w:val="center"/>
              <w:rPr>
                <w:rFonts w:ascii="Times New Roman" w:hAnsi="Times New Roman" w:cs="Times New Roman"/>
                <w:sz w:val="28"/>
                <w:szCs w:val="28"/>
                <w:lang w:eastAsia="ru-RU"/>
              </w:rPr>
            </w:pPr>
            <w:r w:rsidRPr="00286180">
              <w:rPr>
                <w:rFonts w:ascii="Times New Roman" w:hAnsi="Times New Roman" w:cs="Times New Roman"/>
                <w:sz w:val="28"/>
                <w:szCs w:val="28"/>
                <w:lang w:eastAsia="ru-RU"/>
              </w:rPr>
              <w:t>сельское поселение</w:t>
            </w:r>
          </w:p>
          <w:p w:rsidR="00C106F9" w:rsidRPr="00286180" w:rsidRDefault="00C106F9" w:rsidP="00C106F9">
            <w:pPr>
              <w:spacing w:after="0"/>
              <w:ind w:right="-71"/>
              <w:jc w:val="center"/>
              <w:rPr>
                <w:rFonts w:ascii="Times New Roman" w:hAnsi="Times New Roman" w:cs="Times New Roman"/>
                <w:sz w:val="28"/>
                <w:szCs w:val="28"/>
                <w:lang w:eastAsia="ru-RU"/>
              </w:rPr>
            </w:pPr>
            <w:r w:rsidRPr="00286180">
              <w:rPr>
                <w:rFonts w:ascii="Times New Roman" w:hAnsi="Times New Roman" w:cs="Times New Roman"/>
                <w:sz w:val="28"/>
                <w:szCs w:val="28"/>
                <w:lang w:eastAsia="ru-RU"/>
              </w:rPr>
              <w:t>Сельская  администрация</w:t>
            </w:r>
          </w:p>
        </w:tc>
        <w:tc>
          <w:tcPr>
            <w:tcW w:w="1179" w:type="dxa"/>
          </w:tcPr>
          <w:p w:rsidR="00C106F9" w:rsidRPr="00286180" w:rsidRDefault="00C106F9" w:rsidP="00C106F9">
            <w:pPr>
              <w:spacing w:after="0"/>
              <w:rPr>
                <w:rFonts w:ascii="Times New Roman" w:hAnsi="Times New Roman" w:cs="Times New Roman"/>
                <w:sz w:val="28"/>
                <w:szCs w:val="28"/>
                <w:lang w:eastAsia="ru-RU"/>
              </w:rPr>
            </w:pPr>
          </w:p>
          <w:p w:rsidR="00C106F9" w:rsidRPr="00286180" w:rsidRDefault="00C106F9" w:rsidP="00C106F9">
            <w:pPr>
              <w:spacing w:after="0"/>
              <w:rPr>
                <w:rFonts w:ascii="Times New Roman" w:hAnsi="Times New Roman" w:cs="Times New Roman"/>
                <w:sz w:val="28"/>
                <w:szCs w:val="28"/>
                <w:lang w:eastAsia="ru-RU"/>
              </w:rPr>
            </w:pPr>
          </w:p>
          <w:p w:rsidR="00C106F9" w:rsidRPr="00286180" w:rsidRDefault="00C106F9" w:rsidP="00C106F9">
            <w:pPr>
              <w:spacing w:after="0"/>
              <w:rPr>
                <w:rFonts w:ascii="Times New Roman" w:hAnsi="Times New Roman" w:cs="Times New Roman"/>
                <w:sz w:val="28"/>
                <w:szCs w:val="28"/>
                <w:lang w:eastAsia="ru-RU"/>
              </w:rPr>
            </w:pPr>
          </w:p>
        </w:tc>
        <w:tc>
          <w:tcPr>
            <w:tcW w:w="4585" w:type="dxa"/>
            <w:tcBorders>
              <w:top w:val="nil"/>
              <w:left w:val="nil"/>
              <w:bottom w:val="thickThinSmallGap" w:sz="24" w:space="0" w:color="auto"/>
              <w:right w:val="nil"/>
            </w:tcBorders>
          </w:tcPr>
          <w:p w:rsidR="00C106F9" w:rsidRPr="00286180" w:rsidRDefault="00C106F9" w:rsidP="00C106F9">
            <w:pPr>
              <w:spacing w:after="0"/>
              <w:ind w:left="-71"/>
              <w:jc w:val="center"/>
              <w:rPr>
                <w:rFonts w:ascii="Times New Roman" w:hAnsi="Times New Roman" w:cs="Times New Roman"/>
                <w:sz w:val="28"/>
                <w:szCs w:val="28"/>
                <w:lang w:eastAsia="ru-RU"/>
              </w:rPr>
            </w:pPr>
            <w:r w:rsidRPr="00286180">
              <w:rPr>
                <w:rFonts w:ascii="Times New Roman" w:hAnsi="Times New Roman" w:cs="Times New Roman"/>
                <w:sz w:val="28"/>
                <w:szCs w:val="28"/>
                <w:lang w:eastAsia="ru-RU"/>
              </w:rPr>
              <w:t xml:space="preserve">Россия </w:t>
            </w:r>
            <w:proofErr w:type="spellStart"/>
            <w:r w:rsidRPr="00286180">
              <w:rPr>
                <w:rFonts w:ascii="Times New Roman" w:hAnsi="Times New Roman" w:cs="Times New Roman"/>
                <w:sz w:val="28"/>
                <w:szCs w:val="28"/>
                <w:lang w:eastAsia="ru-RU"/>
              </w:rPr>
              <w:t>Федерациязы</w:t>
            </w:r>
            <w:proofErr w:type="spellEnd"/>
          </w:p>
          <w:p w:rsidR="00C106F9" w:rsidRPr="00286180" w:rsidRDefault="00C106F9" w:rsidP="00C106F9">
            <w:pPr>
              <w:spacing w:after="0"/>
              <w:ind w:left="-71"/>
              <w:jc w:val="center"/>
              <w:rPr>
                <w:rFonts w:ascii="Times New Roman" w:hAnsi="Times New Roman" w:cs="Times New Roman"/>
                <w:sz w:val="28"/>
                <w:szCs w:val="28"/>
                <w:lang w:eastAsia="ru-RU"/>
              </w:rPr>
            </w:pPr>
            <w:r w:rsidRPr="00286180">
              <w:rPr>
                <w:rFonts w:ascii="Times New Roman" w:hAnsi="Times New Roman" w:cs="Times New Roman"/>
                <w:sz w:val="28"/>
                <w:szCs w:val="28"/>
                <w:lang w:eastAsia="ru-RU"/>
              </w:rPr>
              <w:t>Алтай Республика</w:t>
            </w:r>
          </w:p>
          <w:p w:rsidR="00C106F9" w:rsidRPr="00286180" w:rsidRDefault="00C03B13" w:rsidP="00C106F9">
            <w:pPr>
              <w:spacing w:after="0"/>
              <w:ind w:left="-71"/>
              <w:jc w:val="center"/>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Хабаровканын</w:t>
            </w:r>
            <w:proofErr w:type="spellEnd"/>
          </w:p>
          <w:p w:rsidR="00C106F9" w:rsidRPr="00286180" w:rsidRDefault="00C106F9" w:rsidP="00C106F9">
            <w:pPr>
              <w:spacing w:after="0"/>
              <w:ind w:left="-71"/>
              <w:jc w:val="center"/>
              <w:rPr>
                <w:rFonts w:ascii="Times New Roman" w:hAnsi="Times New Roman" w:cs="Times New Roman"/>
                <w:sz w:val="28"/>
                <w:szCs w:val="28"/>
                <w:lang w:eastAsia="ru-RU"/>
              </w:rPr>
            </w:pPr>
            <w:proofErr w:type="spellStart"/>
            <w:r w:rsidRPr="00286180">
              <w:rPr>
                <w:rFonts w:ascii="Times New Roman" w:hAnsi="Times New Roman" w:cs="Times New Roman"/>
                <w:sz w:val="28"/>
                <w:szCs w:val="28"/>
                <w:lang w:eastAsia="ru-RU"/>
              </w:rPr>
              <w:t>jурт</w:t>
            </w:r>
            <w:proofErr w:type="spellEnd"/>
            <w:r w:rsidRPr="00286180">
              <w:rPr>
                <w:rFonts w:ascii="Times New Roman" w:hAnsi="Times New Roman" w:cs="Times New Roman"/>
                <w:sz w:val="28"/>
                <w:szCs w:val="28"/>
                <w:lang w:eastAsia="ru-RU"/>
              </w:rPr>
              <w:t xml:space="preserve"> </w:t>
            </w:r>
            <w:proofErr w:type="spellStart"/>
            <w:r w:rsidRPr="00286180">
              <w:rPr>
                <w:rFonts w:ascii="Times New Roman" w:hAnsi="Times New Roman" w:cs="Times New Roman"/>
                <w:sz w:val="28"/>
                <w:szCs w:val="28"/>
                <w:lang w:eastAsia="ru-RU"/>
              </w:rPr>
              <w:t>jеезези</w:t>
            </w:r>
            <w:proofErr w:type="spellEnd"/>
          </w:p>
          <w:p w:rsidR="00C106F9" w:rsidRPr="00286180" w:rsidRDefault="00C106F9" w:rsidP="00C106F9">
            <w:pPr>
              <w:spacing w:after="0"/>
              <w:jc w:val="center"/>
              <w:rPr>
                <w:rFonts w:ascii="Times New Roman" w:hAnsi="Times New Roman" w:cs="Times New Roman"/>
                <w:sz w:val="28"/>
                <w:szCs w:val="28"/>
                <w:lang w:eastAsia="ru-RU"/>
              </w:rPr>
            </w:pPr>
            <w:proofErr w:type="spellStart"/>
            <w:r w:rsidRPr="00286180">
              <w:rPr>
                <w:rFonts w:ascii="Times New Roman" w:hAnsi="Times New Roman" w:cs="Times New Roman"/>
                <w:sz w:val="28"/>
                <w:szCs w:val="28"/>
                <w:lang w:eastAsia="ru-RU"/>
              </w:rPr>
              <w:t>Jурт</w:t>
            </w:r>
            <w:proofErr w:type="spellEnd"/>
            <w:r w:rsidRPr="00286180">
              <w:rPr>
                <w:rFonts w:ascii="Times New Roman" w:hAnsi="Times New Roman" w:cs="Times New Roman"/>
                <w:sz w:val="28"/>
                <w:szCs w:val="28"/>
                <w:lang w:eastAsia="ru-RU"/>
              </w:rPr>
              <w:t xml:space="preserve"> администрация</w:t>
            </w:r>
          </w:p>
        </w:tc>
      </w:tr>
    </w:tbl>
    <w:p w:rsidR="00DE5F6E" w:rsidRPr="00DE5F6E" w:rsidRDefault="009C0109" w:rsidP="00DE5F6E">
      <w:pPr>
        <w:ind w:left="6480" w:hanging="648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Четырнадцатая сессия</w:t>
      </w:r>
      <w:r w:rsidR="00D11531">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четвертого созыва</w:t>
      </w:r>
    </w:p>
    <w:p w:rsidR="00DE5F6E" w:rsidRPr="00DE5F6E" w:rsidRDefault="00DE5F6E" w:rsidP="00DE5F6E">
      <w:pPr>
        <w:rPr>
          <w:rFonts w:ascii="Times New Roman" w:hAnsi="Times New Roman" w:cs="Times New Roman"/>
          <w:b/>
          <w:bCs/>
          <w:i/>
          <w:sz w:val="28"/>
          <w:szCs w:val="28"/>
          <w:lang w:eastAsia="ru-RU"/>
        </w:rPr>
      </w:pPr>
    </w:p>
    <w:p w:rsidR="00DE5F6E" w:rsidRPr="008C281E" w:rsidRDefault="00DE5F6E" w:rsidP="00991197">
      <w:pPr>
        <w:pStyle w:val="a4"/>
        <w:rPr>
          <w:lang w:eastAsia="ru-RU"/>
        </w:rPr>
      </w:pPr>
      <w:r w:rsidRPr="008C281E">
        <w:rPr>
          <w:lang w:eastAsia="ru-RU"/>
        </w:rPr>
        <w:t xml:space="preserve">РЕШЕНИЕ </w:t>
      </w:r>
      <w:r w:rsidRPr="008C281E">
        <w:rPr>
          <w:lang w:eastAsia="ru-RU"/>
        </w:rPr>
        <w:tab/>
      </w:r>
      <w:r w:rsidRPr="008C281E">
        <w:rPr>
          <w:lang w:eastAsia="ru-RU"/>
        </w:rPr>
        <w:tab/>
      </w:r>
      <w:r w:rsidRPr="008C281E">
        <w:rPr>
          <w:lang w:eastAsia="ru-RU"/>
        </w:rPr>
        <w:tab/>
      </w:r>
      <w:r w:rsidRPr="008C281E">
        <w:rPr>
          <w:lang w:eastAsia="ru-RU"/>
        </w:rPr>
        <w:tab/>
      </w:r>
      <w:r w:rsidRPr="008C281E">
        <w:rPr>
          <w:lang w:eastAsia="ru-RU"/>
        </w:rPr>
        <w:tab/>
      </w:r>
      <w:r w:rsidRPr="008C281E">
        <w:rPr>
          <w:lang w:eastAsia="ru-RU"/>
        </w:rPr>
        <w:tab/>
      </w:r>
      <w:r w:rsidRPr="008C281E">
        <w:rPr>
          <w:lang w:eastAsia="ru-RU"/>
        </w:rPr>
        <w:tab/>
      </w:r>
      <w:r w:rsidRPr="008C281E">
        <w:rPr>
          <w:lang w:eastAsia="ru-RU"/>
        </w:rPr>
        <w:tab/>
      </w:r>
      <w:r w:rsidRPr="008C281E">
        <w:rPr>
          <w:lang w:eastAsia="ru-RU"/>
        </w:rPr>
        <w:tab/>
      </w:r>
      <w:r w:rsidR="00991197">
        <w:rPr>
          <w:lang w:eastAsia="ru-RU"/>
        </w:rPr>
        <w:t xml:space="preserve">               </w:t>
      </w:r>
      <w:r w:rsidRPr="008C281E">
        <w:rPr>
          <w:lang w:eastAsia="ru-RU"/>
        </w:rPr>
        <w:t xml:space="preserve">ЧЕЧИМ </w:t>
      </w:r>
    </w:p>
    <w:p w:rsidR="00DE5F6E" w:rsidRPr="008C281E" w:rsidRDefault="00DE5F6E" w:rsidP="00991197">
      <w:pPr>
        <w:pStyle w:val="a4"/>
        <w:rPr>
          <w:lang w:eastAsia="ru-RU"/>
        </w:rPr>
      </w:pPr>
      <w:r w:rsidRPr="008C281E">
        <w:rPr>
          <w:lang w:eastAsia="ru-RU"/>
        </w:rPr>
        <w:t xml:space="preserve">От </w:t>
      </w:r>
      <w:r w:rsidR="00DE6782">
        <w:rPr>
          <w:lang w:eastAsia="ru-RU"/>
        </w:rPr>
        <w:t>29</w:t>
      </w:r>
      <w:r w:rsidRPr="008C281E">
        <w:rPr>
          <w:lang w:eastAsia="ru-RU"/>
        </w:rPr>
        <w:t>.0</w:t>
      </w:r>
      <w:r w:rsidR="00DE6782">
        <w:rPr>
          <w:lang w:eastAsia="ru-RU"/>
        </w:rPr>
        <w:t>5</w:t>
      </w:r>
      <w:r w:rsidRPr="008C281E">
        <w:rPr>
          <w:lang w:eastAsia="ru-RU"/>
        </w:rPr>
        <w:t>.20</w:t>
      </w:r>
      <w:r w:rsidR="00DE6782">
        <w:rPr>
          <w:lang w:eastAsia="ru-RU"/>
        </w:rPr>
        <w:t>20</w:t>
      </w:r>
      <w:r w:rsidRPr="008C281E">
        <w:rPr>
          <w:lang w:eastAsia="ru-RU"/>
        </w:rPr>
        <w:t xml:space="preserve"> г                                  </w:t>
      </w:r>
      <w:r w:rsidRPr="008C281E">
        <w:rPr>
          <w:lang w:eastAsia="ru-RU"/>
        </w:rPr>
        <w:tab/>
      </w:r>
      <w:r w:rsidRPr="008C281E">
        <w:rPr>
          <w:lang w:eastAsia="ru-RU"/>
        </w:rPr>
        <w:tab/>
      </w:r>
      <w:r w:rsidRPr="008C281E">
        <w:rPr>
          <w:lang w:eastAsia="ru-RU"/>
        </w:rPr>
        <w:tab/>
      </w:r>
      <w:r w:rsidRPr="008C281E">
        <w:rPr>
          <w:lang w:eastAsia="ru-RU"/>
        </w:rPr>
        <w:tab/>
      </w:r>
      <w:r w:rsidR="008C281E">
        <w:rPr>
          <w:lang w:eastAsia="ru-RU"/>
        </w:rPr>
        <w:t xml:space="preserve">                    </w:t>
      </w:r>
      <w:r w:rsidRPr="008C281E">
        <w:rPr>
          <w:lang w:eastAsia="ru-RU"/>
        </w:rPr>
        <w:tab/>
      </w:r>
      <w:r w:rsidR="00991197">
        <w:rPr>
          <w:lang w:eastAsia="ru-RU"/>
        </w:rPr>
        <w:t xml:space="preserve">                </w:t>
      </w:r>
      <w:r w:rsidRPr="008C281E">
        <w:rPr>
          <w:lang w:eastAsia="ru-RU"/>
        </w:rPr>
        <w:t>№</w:t>
      </w:r>
      <w:r w:rsidR="00DE6782">
        <w:rPr>
          <w:lang w:eastAsia="ru-RU"/>
        </w:rPr>
        <w:t>14/4</w:t>
      </w:r>
    </w:p>
    <w:p w:rsidR="00DE5F6E" w:rsidRPr="00DE5F6E" w:rsidRDefault="00DE5F6E" w:rsidP="00DE5F6E">
      <w:pPr>
        <w:jc w:val="center"/>
        <w:rPr>
          <w:rFonts w:ascii="Times New Roman" w:hAnsi="Times New Roman" w:cs="Times New Roman"/>
          <w:b/>
          <w:bCs/>
          <w:sz w:val="28"/>
          <w:szCs w:val="28"/>
          <w:lang w:eastAsia="ru-RU"/>
        </w:rPr>
      </w:pPr>
    </w:p>
    <w:p w:rsidR="00DE5F6E" w:rsidRPr="00DE5F6E" w:rsidRDefault="00946FD7" w:rsidP="00DE5F6E">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с. </w:t>
      </w:r>
      <w:proofErr w:type="spellStart"/>
      <w:r w:rsidR="008C281E">
        <w:rPr>
          <w:rFonts w:ascii="Times New Roman" w:hAnsi="Times New Roman" w:cs="Times New Roman"/>
          <w:b/>
          <w:bCs/>
          <w:sz w:val="28"/>
          <w:szCs w:val="28"/>
          <w:lang w:eastAsia="ru-RU"/>
        </w:rPr>
        <w:t>Хабаровка</w:t>
      </w:r>
      <w:proofErr w:type="spellEnd"/>
    </w:p>
    <w:p w:rsidR="00DE5F6E" w:rsidRPr="00DE5F6E" w:rsidRDefault="00DE5F6E" w:rsidP="00DE5F6E">
      <w:pPr>
        <w:rPr>
          <w:rFonts w:ascii="Times New Roman" w:hAnsi="Times New Roman" w:cs="Times New Roman"/>
          <w:b/>
        </w:rPr>
      </w:pPr>
    </w:p>
    <w:tbl>
      <w:tblPr>
        <w:tblW w:w="0" w:type="auto"/>
        <w:tblLook w:val="01E0" w:firstRow="1" w:lastRow="1" w:firstColumn="1" w:lastColumn="1" w:noHBand="0" w:noVBand="0"/>
      </w:tblPr>
      <w:tblGrid>
        <w:gridCol w:w="4336"/>
        <w:gridCol w:w="5235"/>
      </w:tblGrid>
      <w:tr w:rsidR="00DE5F6E" w:rsidRPr="00DE5F6E" w:rsidTr="00073EAF">
        <w:trPr>
          <w:trHeight w:val="188"/>
        </w:trPr>
        <w:tc>
          <w:tcPr>
            <w:tcW w:w="4336" w:type="dxa"/>
          </w:tcPr>
          <w:p w:rsidR="00DE5F6E" w:rsidRPr="006A35FA" w:rsidRDefault="00DE5F6E" w:rsidP="00164CFC">
            <w:pPr>
              <w:jc w:val="both"/>
              <w:rPr>
                <w:rFonts w:ascii="Times New Roman" w:hAnsi="Times New Roman" w:cs="Times New Roman"/>
              </w:rPr>
            </w:pPr>
            <w:r w:rsidRPr="006A35FA">
              <w:rPr>
                <w:rFonts w:ascii="Times New Roman" w:hAnsi="Times New Roman" w:cs="Times New Roman"/>
              </w:rPr>
              <w:t>О внесении изменений и дополнений решения сельского</w:t>
            </w:r>
            <w:r w:rsidR="00946FD7" w:rsidRPr="006A35FA">
              <w:rPr>
                <w:rFonts w:ascii="Times New Roman" w:hAnsi="Times New Roman" w:cs="Times New Roman"/>
              </w:rPr>
              <w:t xml:space="preserve"> </w:t>
            </w:r>
            <w:r w:rsidR="00164CFC" w:rsidRPr="006A35FA">
              <w:rPr>
                <w:rFonts w:ascii="Times New Roman" w:hAnsi="Times New Roman" w:cs="Times New Roman"/>
              </w:rPr>
              <w:t>Совета депутатов МО Хабаровское</w:t>
            </w:r>
            <w:r w:rsidRPr="006A35FA">
              <w:rPr>
                <w:rFonts w:ascii="Times New Roman" w:hAnsi="Times New Roman" w:cs="Times New Roman"/>
              </w:rPr>
              <w:t xml:space="preserve"> сельское поселение «Об утверждении Положения о бюджетном процесс</w:t>
            </w:r>
            <w:r w:rsidR="00946FD7" w:rsidRPr="006A35FA">
              <w:rPr>
                <w:rFonts w:ascii="Times New Roman" w:hAnsi="Times New Roman" w:cs="Times New Roman"/>
              </w:rPr>
              <w:t xml:space="preserve">е в </w:t>
            </w:r>
            <w:r w:rsidR="00164CFC" w:rsidRPr="006A35FA">
              <w:rPr>
                <w:rFonts w:ascii="Times New Roman" w:hAnsi="Times New Roman" w:cs="Times New Roman"/>
              </w:rPr>
              <w:t>Хабаровское</w:t>
            </w:r>
            <w:r w:rsidRPr="006A35FA">
              <w:rPr>
                <w:rFonts w:ascii="Times New Roman" w:hAnsi="Times New Roman" w:cs="Times New Roman"/>
              </w:rPr>
              <w:t xml:space="preserve"> сельское поселение»</w:t>
            </w:r>
            <w:r w:rsidR="00946FD7" w:rsidRPr="006A35FA">
              <w:rPr>
                <w:rFonts w:ascii="Times New Roman" w:hAnsi="Times New Roman" w:cs="Times New Roman"/>
              </w:rPr>
              <w:t xml:space="preserve"> от </w:t>
            </w:r>
            <w:r w:rsidR="00164CFC" w:rsidRPr="006A35FA">
              <w:rPr>
                <w:rFonts w:ascii="Times New Roman" w:hAnsi="Times New Roman" w:cs="Times New Roman"/>
              </w:rPr>
              <w:t>27.10.</w:t>
            </w:r>
            <w:r w:rsidR="00946FD7" w:rsidRPr="006A35FA">
              <w:rPr>
                <w:rFonts w:ascii="Times New Roman" w:hAnsi="Times New Roman" w:cs="Times New Roman"/>
              </w:rPr>
              <w:t>2011</w:t>
            </w:r>
            <w:r w:rsidRPr="006A35FA">
              <w:rPr>
                <w:rFonts w:ascii="Times New Roman" w:hAnsi="Times New Roman" w:cs="Times New Roman"/>
              </w:rPr>
              <w:t xml:space="preserve"> г. № </w:t>
            </w:r>
            <w:r w:rsidR="00164CFC" w:rsidRPr="006A35FA">
              <w:rPr>
                <w:rFonts w:ascii="Times New Roman" w:hAnsi="Times New Roman" w:cs="Times New Roman"/>
              </w:rPr>
              <w:t>20</w:t>
            </w:r>
            <w:r w:rsidR="00946FD7" w:rsidRPr="006A35FA">
              <w:rPr>
                <w:rFonts w:ascii="Times New Roman" w:hAnsi="Times New Roman" w:cs="Times New Roman"/>
              </w:rPr>
              <w:t>-</w:t>
            </w:r>
            <w:r w:rsidR="00164CFC" w:rsidRPr="006A35FA">
              <w:rPr>
                <w:rFonts w:ascii="Times New Roman" w:hAnsi="Times New Roman" w:cs="Times New Roman"/>
              </w:rPr>
              <w:t>3</w:t>
            </w:r>
          </w:p>
        </w:tc>
        <w:tc>
          <w:tcPr>
            <w:tcW w:w="5235" w:type="dxa"/>
          </w:tcPr>
          <w:p w:rsidR="00DE5F6E" w:rsidRPr="006A35FA" w:rsidRDefault="00DE5F6E" w:rsidP="00267B25">
            <w:pPr>
              <w:rPr>
                <w:rFonts w:ascii="Times New Roman" w:hAnsi="Times New Roman" w:cs="Times New Roman"/>
              </w:rPr>
            </w:pPr>
          </w:p>
        </w:tc>
      </w:tr>
    </w:tbl>
    <w:p w:rsidR="00073EAF" w:rsidRDefault="00073EAF" w:rsidP="00073EAF">
      <w:pPr>
        <w:pStyle w:val="a3"/>
      </w:pPr>
      <w:r>
        <w:t xml:space="preserve"> </w:t>
      </w:r>
      <w:r w:rsidR="006A35FA">
        <w:t xml:space="preserve">     </w:t>
      </w:r>
      <w:r>
        <w:t xml:space="preserve">В соответствии с Бюджетным кодексом Российской Федерации, Федеральными законами «Об общих принципах организации местного самоуправления в Российской Федерации» и «О бюджетной классификации Российской Федерации», в целях определения правовых основ, содержания и механизма осуществления бюджетного процесса в сельском поселении, установления основ формирования доходов, осуществления расходов бюджета сельского поселения, муниципальных заимствований и управления муниципальным долгом сельский Совет депутатов </w:t>
      </w:r>
    </w:p>
    <w:p w:rsidR="00073EAF" w:rsidRDefault="00073EAF" w:rsidP="00073EAF">
      <w:pPr>
        <w:pStyle w:val="a3"/>
        <w:jc w:val="center"/>
      </w:pPr>
      <w:r>
        <w:t>Р Е Ш И Л:</w:t>
      </w:r>
    </w:p>
    <w:p w:rsidR="004625E5" w:rsidRDefault="004625E5" w:rsidP="004625E5">
      <w:pPr>
        <w:rPr>
          <w:b/>
        </w:rPr>
      </w:pPr>
      <w:r>
        <w:rPr>
          <w:b/>
          <w:lang w:eastAsia="ru-RU"/>
        </w:rPr>
        <w:t>1</w:t>
      </w:r>
      <w:r w:rsidRPr="00D866A6">
        <w:rPr>
          <w:b/>
          <w:lang w:eastAsia="ru-RU"/>
        </w:rPr>
        <w:t xml:space="preserve">. </w:t>
      </w:r>
      <w:r>
        <w:rPr>
          <w:b/>
        </w:rPr>
        <w:t>Ст.2</w:t>
      </w:r>
      <w:r w:rsidRPr="00D866A6">
        <w:rPr>
          <w:b/>
        </w:rPr>
        <w:t>5 изложить в следующей редакции:</w:t>
      </w:r>
    </w:p>
    <w:p w:rsidR="004625E5" w:rsidRPr="00F70444" w:rsidRDefault="004625E5" w:rsidP="004625E5">
      <w:pPr>
        <w:ind w:firstLine="540"/>
        <w:jc w:val="both"/>
        <w:rPr>
          <w:rFonts w:ascii="Verdana" w:hAnsi="Verdana"/>
          <w:sz w:val="21"/>
          <w:szCs w:val="21"/>
        </w:rPr>
      </w:pPr>
      <w:r w:rsidRPr="00F70444">
        <w:t>1. Под государственными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государственных (муниципальных) ценных бумаг и в форме кредитов, по которым возникают долговые обязательства публично-правового образования как заемщика.</w:t>
      </w:r>
    </w:p>
    <w:p w:rsidR="004625E5" w:rsidRPr="00F70444" w:rsidRDefault="004625E5" w:rsidP="004625E5">
      <w:pPr>
        <w:ind w:firstLine="540"/>
        <w:jc w:val="both"/>
        <w:rPr>
          <w:rFonts w:ascii="Verdana" w:hAnsi="Verdana"/>
          <w:sz w:val="21"/>
          <w:szCs w:val="21"/>
        </w:rPr>
      </w:pPr>
      <w:r w:rsidRPr="00F70444">
        <w:t xml:space="preserve">2. Под государственными внутренними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из других бюджетов бюджетной системы Российской Федерации, от кредитных </w:t>
      </w:r>
      <w:r w:rsidRPr="00F70444">
        <w:lastRenderedPageBreak/>
        <w:t>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4625E5" w:rsidRPr="00F70444" w:rsidRDefault="004625E5" w:rsidP="004625E5">
      <w:pPr>
        <w:ind w:firstLine="540"/>
        <w:jc w:val="both"/>
        <w:rPr>
          <w:rFonts w:ascii="Verdana" w:hAnsi="Verdana"/>
          <w:sz w:val="21"/>
          <w:szCs w:val="21"/>
        </w:rPr>
      </w:pPr>
      <w:r w:rsidRPr="00F70444">
        <w:t>3.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 пополнения в течение финансового года остатков средств на счетах федерального бюджета.</w:t>
      </w:r>
    </w:p>
    <w:p w:rsidR="004625E5" w:rsidRPr="00F70444" w:rsidRDefault="004625E5" w:rsidP="004625E5">
      <w:pPr>
        <w:ind w:firstLine="540"/>
        <w:jc w:val="both"/>
        <w:rPr>
          <w:rFonts w:ascii="Verdana" w:hAnsi="Verdana"/>
          <w:sz w:val="21"/>
          <w:szCs w:val="21"/>
        </w:rPr>
      </w:pPr>
      <w:r w:rsidRPr="00F70444">
        <w:t>4. 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4625E5" w:rsidRPr="00F70444" w:rsidRDefault="004625E5" w:rsidP="004625E5">
      <w:pPr>
        <w:ind w:firstLine="540"/>
        <w:jc w:val="both"/>
        <w:rPr>
          <w:rFonts w:ascii="Verdana" w:hAnsi="Verdana"/>
          <w:sz w:val="21"/>
          <w:szCs w:val="21"/>
        </w:rPr>
      </w:pPr>
      <w:r w:rsidRPr="00F70444">
        <w:t>5. Под государственными внешними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 по которым возникают долговые обязательства Российской Федерации как заемщика, выраженные в иностранной валюте.</w:t>
      </w:r>
    </w:p>
    <w:p w:rsidR="004625E5" w:rsidRPr="00F70444" w:rsidRDefault="004625E5" w:rsidP="004625E5">
      <w:pPr>
        <w:ind w:firstLine="540"/>
        <w:jc w:val="both"/>
        <w:rPr>
          <w:rFonts w:ascii="Verdana" w:hAnsi="Verdana"/>
          <w:sz w:val="21"/>
          <w:szCs w:val="21"/>
        </w:rPr>
      </w:pPr>
      <w:r w:rsidRPr="00F70444">
        <w:t>6. 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w:t>
      </w:r>
    </w:p>
    <w:p w:rsidR="004625E5" w:rsidRPr="00F70444" w:rsidRDefault="004625E5" w:rsidP="004625E5">
      <w:pPr>
        <w:ind w:firstLine="540"/>
        <w:jc w:val="both"/>
        <w:rPr>
          <w:rFonts w:ascii="Verdana" w:hAnsi="Verdana"/>
          <w:sz w:val="21"/>
          <w:szCs w:val="21"/>
        </w:rPr>
      </w:pPr>
      <w:r w:rsidRPr="00F70444">
        <w:t>7. Право осуществления государственных внешних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4625E5" w:rsidRPr="00F70444" w:rsidRDefault="004625E5" w:rsidP="004625E5">
      <w:pPr>
        <w:ind w:firstLine="540"/>
        <w:jc w:val="both"/>
        <w:rPr>
          <w:rFonts w:ascii="Verdana" w:hAnsi="Verdana"/>
          <w:sz w:val="21"/>
          <w:szCs w:val="21"/>
        </w:rPr>
      </w:pPr>
      <w:r w:rsidRPr="00F70444">
        <w:t>8.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пунктом 14 статьи 241 настоящего Кодекса.</w:t>
      </w:r>
    </w:p>
    <w:p w:rsidR="004625E5" w:rsidRPr="00F70444" w:rsidRDefault="004625E5" w:rsidP="004625E5">
      <w:pPr>
        <w:ind w:firstLine="540"/>
        <w:jc w:val="both"/>
        <w:rPr>
          <w:rFonts w:ascii="Verdana" w:hAnsi="Verdana"/>
          <w:sz w:val="21"/>
          <w:szCs w:val="21"/>
        </w:rPr>
      </w:pPr>
      <w:r w:rsidRPr="00F70444">
        <w:t>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счетах федерального бюджета в порядке, установленном Правительством Российской Федерации.</w:t>
      </w:r>
    </w:p>
    <w:p w:rsidR="004625E5" w:rsidRPr="00F70444" w:rsidRDefault="004625E5" w:rsidP="004625E5">
      <w:pPr>
        <w:ind w:firstLine="540"/>
        <w:jc w:val="both"/>
        <w:rPr>
          <w:rFonts w:ascii="Verdana" w:hAnsi="Verdana"/>
          <w:sz w:val="21"/>
          <w:szCs w:val="21"/>
        </w:rPr>
      </w:pPr>
      <w:r w:rsidRPr="00F70444">
        <w:lastRenderedPageBreak/>
        <w:t>9. Под государственными внутренними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валюте Российской Федерации.</w:t>
      </w:r>
    </w:p>
    <w:p w:rsidR="004625E5" w:rsidRPr="00F70444" w:rsidRDefault="004625E5" w:rsidP="004625E5">
      <w:pPr>
        <w:ind w:firstLine="540"/>
        <w:jc w:val="both"/>
        <w:rPr>
          <w:rFonts w:ascii="Verdana" w:hAnsi="Verdana"/>
          <w:sz w:val="21"/>
          <w:szCs w:val="21"/>
        </w:rPr>
      </w:pPr>
      <w:r w:rsidRPr="00F70444">
        <w:t>10.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4625E5" w:rsidRPr="00F70444" w:rsidRDefault="004625E5" w:rsidP="004625E5">
      <w:pPr>
        <w:ind w:firstLine="540"/>
        <w:jc w:val="both"/>
        <w:rPr>
          <w:rFonts w:ascii="Verdana" w:hAnsi="Verdana"/>
          <w:sz w:val="21"/>
          <w:szCs w:val="21"/>
        </w:rPr>
      </w:pPr>
      <w:r w:rsidRPr="00F70444">
        <w:t>11. Государственные внутренние заимствования субъекта Российской Федерации и муниципальные внутренние заимствования осуществляются в целях финансирования дефицита бюджета субъекта Российской Федерации и местного бюджета, а также погашения долговых обязательств субъекта Российской Федерации и муниципального образования, пополнения в течение финансового года остатков средств на счетах бюджета субъекта Российской Федерации и местного бюджета соответственно.</w:t>
      </w:r>
    </w:p>
    <w:p w:rsidR="004625E5" w:rsidRPr="00F70444" w:rsidRDefault="004625E5" w:rsidP="004625E5">
      <w:pPr>
        <w:ind w:firstLine="540"/>
        <w:jc w:val="both"/>
        <w:rPr>
          <w:rFonts w:ascii="Verdana" w:hAnsi="Verdana"/>
          <w:sz w:val="21"/>
          <w:szCs w:val="21"/>
        </w:rPr>
      </w:pPr>
      <w:r w:rsidRPr="00F70444">
        <w:t>12. Под государственными внешними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иностранной валюте.</w:t>
      </w:r>
    </w:p>
    <w:p w:rsidR="004625E5" w:rsidRPr="00F70444" w:rsidRDefault="004625E5" w:rsidP="004625E5">
      <w:pPr>
        <w:ind w:firstLine="540"/>
        <w:jc w:val="both"/>
        <w:rPr>
          <w:rFonts w:ascii="Verdana" w:hAnsi="Verdana"/>
          <w:sz w:val="21"/>
          <w:szCs w:val="21"/>
        </w:rPr>
      </w:pPr>
      <w:r w:rsidRPr="00F70444">
        <w:t>13.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rsidR="004625E5" w:rsidRPr="00F70444" w:rsidRDefault="004625E5" w:rsidP="004625E5">
      <w:pPr>
        <w:ind w:firstLine="540"/>
        <w:jc w:val="both"/>
        <w:rPr>
          <w:rFonts w:ascii="Verdana" w:hAnsi="Verdana"/>
          <w:sz w:val="21"/>
          <w:szCs w:val="21"/>
        </w:rPr>
      </w:pPr>
      <w:r w:rsidRPr="00F70444">
        <w:t>14. Государственные внешние заимствования субъекта Российской Федерации осуществляются в целях финансирования дефицита бюджета субъекта Российской Федерации, а также погашения государственных долговых обязательств субъекта Российской Федерации, выраженных в иностранной валюте.</w:t>
      </w:r>
    </w:p>
    <w:p w:rsidR="004625E5" w:rsidRPr="00F70444" w:rsidRDefault="004625E5" w:rsidP="004625E5">
      <w:pPr>
        <w:ind w:firstLine="540"/>
        <w:jc w:val="both"/>
        <w:rPr>
          <w:rFonts w:ascii="Verdana" w:hAnsi="Verdana"/>
          <w:sz w:val="21"/>
          <w:szCs w:val="21"/>
        </w:rPr>
      </w:pPr>
      <w:r w:rsidRPr="00F70444">
        <w:t>15.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4625E5" w:rsidRPr="00F70444" w:rsidRDefault="004625E5" w:rsidP="004625E5">
      <w:pPr>
        <w:ind w:firstLine="540"/>
        <w:jc w:val="both"/>
        <w:rPr>
          <w:rFonts w:ascii="Verdana" w:hAnsi="Verdana"/>
          <w:sz w:val="21"/>
          <w:szCs w:val="21"/>
        </w:rPr>
      </w:pPr>
      <w:r w:rsidRPr="00F70444">
        <w:t xml:space="preserve">16. 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одному органу государственной власти субъекта Российской Федерации (высшему </w:t>
      </w:r>
      <w:r w:rsidRPr="00F70444">
        <w:lastRenderedPageBreak/>
        <w:t>исполнительному органу государственной власти субъекта Российской Федерации либо финансовому органу субъекта Российской Федерации).</w:t>
      </w:r>
    </w:p>
    <w:p w:rsidR="004625E5" w:rsidRPr="00F70444" w:rsidRDefault="004625E5" w:rsidP="004625E5">
      <w:pPr>
        <w:ind w:firstLine="540"/>
        <w:jc w:val="both"/>
        <w:rPr>
          <w:rFonts w:ascii="Verdana" w:hAnsi="Verdana"/>
          <w:sz w:val="21"/>
          <w:szCs w:val="21"/>
        </w:rPr>
      </w:pPr>
      <w:r w:rsidRPr="00F70444">
        <w:t>17.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 (исполнительно-распорядительному органу муниципального образования).</w:t>
      </w:r>
    </w:p>
    <w:p w:rsidR="004625E5" w:rsidRPr="00D866A6" w:rsidRDefault="004625E5" w:rsidP="004625E5">
      <w:pPr>
        <w:rPr>
          <w:b/>
        </w:rPr>
      </w:pPr>
    </w:p>
    <w:p w:rsidR="004625E5" w:rsidRDefault="004625E5" w:rsidP="004625E5">
      <w:pPr>
        <w:rPr>
          <w:b/>
        </w:rPr>
      </w:pPr>
      <w:r>
        <w:rPr>
          <w:b/>
          <w:lang w:eastAsia="ru-RU"/>
        </w:rPr>
        <w:t>2</w:t>
      </w:r>
      <w:r w:rsidRPr="00D866A6">
        <w:rPr>
          <w:b/>
          <w:lang w:eastAsia="ru-RU"/>
        </w:rPr>
        <w:t xml:space="preserve">. </w:t>
      </w:r>
      <w:r>
        <w:rPr>
          <w:b/>
        </w:rPr>
        <w:t>Ст.26</w:t>
      </w:r>
      <w:r w:rsidRPr="00D866A6">
        <w:rPr>
          <w:b/>
        </w:rPr>
        <w:t xml:space="preserve"> изложить в следующей редакции:</w:t>
      </w:r>
    </w:p>
    <w:p w:rsidR="004625E5" w:rsidRPr="00142925" w:rsidRDefault="004625E5" w:rsidP="004625E5">
      <w:pPr>
        <w:spacing w:before="144" w:after="288"/>
        <w:jc w:val="both"/>
        <w:rPr>
          <w:color w:val="000000"/>
        </w:rPr>
      </w:pPr>
      <w:r w:rsidRPr="00142925">
        <w:rPr>
          <w:color w:val="000000"/>
        </w:rPr>
        <w:t>1. Под государственными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w:t>
      </w:r>
    </w:p>
    <w:p w:rsidR="004625E5" w:rsidRPr="00142925" w:rsidRDefault="004625E5" w:rsidP="004625E5">
      <w:pPr>
        <w:spacing w:before="144" w:after="288"/>
        <w:jc w:val="both"/>
        <w:rPr>
          <w:color w:val="000000"/>
        </w:rPr>
      </w:pPr>
      <w:r w:rsidRPr="00142925">
        <w:rPr>
          <w:color w:val="000000"/>
        </w:rPr>
        <w:t>2. Государственные и муниципальные внутренние заимствования осуществляются в целях финансирования дефицитов соответствующих бюджетов, а также для погашения долговых обязательств.</w:t>
      </w:r>
    </w:p>
    <w:p w:rsidR="004625E5" w:rsidRPr="00142925" w:rsidRDefault="004625E5" w:rsidP="004625E5">
      <w:pPr>
        <w:spacing w:before="144" w:after="288"/>
        <w:jc w:val="both"/>
        <w:rPr>
          <w:color w:val="000000"/>
        </w:rPr>
      </w:pPr>
      <w:r w:rsidRPr="00142925">
        <w:rPr>
          <w:color w:val="000000"/>
        </w:rPr>
        <w:t>3. Под государственными внутренними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4625E5" w:rsidRPr="00142925" w:rsidRDefault="004625E5" w:rsidP="004625E5">
      <w:pPr>
        <w:spacing w:before="144" w:after="288"/>
        <w:jc w:val="both"/>
        <w:rPr>
          <w:color w:val="000000"/>
        </w:rPr>
      </w:pPr>
      <w:r w:rsidRPr="00142925">
        <w:rPr>
          <w:color w:val="000000"/>
        </w:rPr>
        <w:t>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4625E5" w:rsidRPr="00142925" w:rsidRDefault="004625E5" w:rsidP="004625E5">
      <w:pPr>
        <w:spacing w:before="144" w:after="288"/>
        <w:jc w:val="both"/>
        <w:rPr>
          <w:color w:val="000000"/>
        </w:rPr>
      </w:pPr>
      <w:r w:rsidRPr="00142925">
        <w:rPr>
          <w:color w:val="000000"/>
        </w:rPr>
        <w:t>4. Под государственными внешними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 выраженные в иностранной валюте.</w:t>
      </w:r>
    </w:p>
    <w:p w:rsidR="004625E5" w:rsidRPr="00142925" w:rsidRDefault="004625E5" w:rsidP="004625E5">
      <w:pPr>
        <w:spacing w:before="144" w:after="288"/>
        <w:jc w:val="both"/>
        <w:rPr>
          <w:color w:val="000000"/>
        </w:rPr>
      </w:pPr>
      <w:r w:rsidRPr="00142925">
        <w:rPr>
          <w:color w:val="000000"/>
        </w:rPr>
        <w:t>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w:t>
      </w:r>
    </w:p>
    <w:p w:rsidR="004625E5" w:rsidRPr="00142925" w:rsidRDefault="004625E5" w:rsidP="004625E5">
      <w:pPr>
        <w:spacing w:before="144" w:after="288"/>
        <w:jc w:val="both"/>
        <w:rPr>
          <w:color w:val="000000"/>
        </w:rPr>
      </w:pPr>
      <w:r w:rsidRPr="00142925">
        <w:rPr>
          <w:color w:val="000000"/>
        </w:rPr>
        <w:t xml:space="preserve">Право осуществления государственных внешних заимствований Российской Федерации и заключения договоров о предоставлении государственных гарантий для привлечения внешних </w:t>
      </w:r>
      <w:r w:rsidRPr="00142925">
        <w:rPr>
          <w:color w:val="000000"/>
        </w:rPr>
        <w:lastRenderedPageBreak/>
        <w:t>кредитов (займов) принадлежит Российской Федерации. От имени Российской Федерации осуществлять внешние заимствования может Правительство Российской Федерации либо уполномоченное им Министерство финансов Российской Федерации.</w:t>
      </w:r>
    </w:p>
    <w:p w:rsidR="004625E5" w:rsidRPr="00142925" w:rsidRDefault="004625E5" w:rsidP="004625E5">
      <w:pPr>
        <w:spacing w:before="144" w:after="288"/>
        <w:jc w:val="both"/>
        <w:rPr>
          <w:color w:val="000000"/>
        </w:rPr>
      </w:pPr>
      <w:r w:rsidRPr="00142925">
        <w:rPr>
          <w:color w:val="000000"/>
        </w:rPr>
        <w:t>5.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пунктом 14 статьи 241 настоящего Кодекса.</w:t>
      </w:r>
    </w:p>
    <w:p w:rsidR="004625E5" w:rsidRPr="00142925" w:rsidRDefault="004625E5" w:rsidP="004625E5">
      <w:pPr>
        <w:spacing w:before="144" w:after="288"/>
        <w:jc w:val="both"/>
        <w:rPr>
          <w:color w:val="000000"/>
        </w:rPr>
      </w:pPr>
      <w:r w:rsidRPr="00142925">
        <w:rPr>
          <w:color w:val="000000"/>
        </w:rPr>
        <w:t>6. Под государственными заимствованиями субъектов Российской Федерации понимаются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иностранных банков и международных финансовых организаций, по которым возникают долговые обязательства субъекта Российской Федерации.</w:t>
      </w:r>
    </w:p>
    <w:p w:rsidR="004625E5" w:rsidRPr="00142925" w:rsidRDefault="004625E5" w:rsidP="004625E5">
      <w:pPr>
        <w:spacing w:before="144" w:after="288"/>
        <w:jc w:val="both"/>
        <w:rPr>
          <w:color w:val="000000"/>
        </w:rPr>
      </w:pPr>
      <w:r w:rsidRPr="00142925">
        <w:rPr>
          <w:color w:val="000000"/>
        </w:rPr>
        <w:t>Государственные внутренние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международных финансовых организаций, по которым возникают долговые обязательства субъекта Российской Федерации, выраженные в валюте Российской Федерации.</w:t>
      </w:r>
    </w:p>
    <w:p w:rsidR="004625E5" w:rsidRPr="00142925" w:rsidRDefault="004625E5" w:rsidP="004625E5">
      <w:pPr>
        <w:spacing w:before="144" w:after="288"/>
        <w:jc w:val="both"/>
        <w:rPr>
          <w:color w:val="000000"/>
        </w:rPr>
      </w:pPr>
      <w:r w:rsidRPr="00142925">
        <w:rPr>
          <w:color w:val="000000"/>
        </w:rPr>
        <w:t>Государственные внешние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иностранных банков, по которым возникают долговые обязательства субъекта Российской Федерации, выраженные в иностранной валюте.</w:t>
      </w:r>
    </w:p>
    <w:p w:rsidR="004625E5" w:rsidRPr="00142925" w:rsidRDefault="004625E5" w:rsidP="004625E5">
      <w:pPr>
        <w:spacing w:before="144" w:after="288"/>
        <w:jc w:val="both"/>
        <w:rPr>
          <w:color w:val="000000"/>
        </w:rPr>
      </w:pPr>
      <w:r w:rsidRPr="00142925">
        <w:rPr>
          <w:color w:val="000000"/>
        </w:rPr>
        <w:t>Государственные внешние заимствования субъекта Российской Федерации осуществляются в соответствии с положениями настоящего Кодекса в целях обеспечения погашения существующего государственного внешнего долга субъекта Российской Федерации и (или) финансирования дефицита бюджета субъекта Российской Федерации.</w:t>
      </w:r>
    </w:p>
    <w:p w:rsidR="004625E5" w:rsidRPr="00142925" w:rsidRDefault="004625E5" w:rsidP="004625E5">
      <w:pPr>
        <w:spacing w:before="144" w:after="288"/>
        <w:jc w:val="both"/>
        <w:rPr>
          <w:color w:val="000000"/>
        </w:rPr>
      </w:pPr>
      <w:r w:rsidRPr="00142925">
        <w:rPr>
          <w:color w:val="000000"/>
        </w:rPr>
        <w:lastRenderedPageBreak/>
        <w:t>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4625E5" w:rsidRPr="00142925" w:rsidRDefault="004625E5" w:rsidP="004625E5">
      <w:pPr>
        <w:spacing w:before="144" w:after="288"/>
        <w:jc w:val="both"/>
        <w:rPr>
          <w:color w:val="000000"/>
        </w:rPr>
      </w:pPr>
      <w:r w:rsidRPr="00142925">
        <w:rPr>
          <w:color w:val="000000"/>
        </w:rPr>
        <w:t>7.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4625E5" w:rsidRPr="00142925" w:rsidRDefault="004625E5" w:rsidP="004625E5">
      <w:pPr>
        <w:spacing w:before="144" w:after="288"/>
        <w:jc w:val="both"/>
        <w:rPr>
          <w:color w:val="000000"/>
        </w:rPr>
      </w:pPr>
      <w:r w:rsidRPr="00142925">
        <w:rPr>
          <w:color w:val="000000"/>
        </w:rPr>
        <w:t>Заимствования муниципальных образований в валюте Российской Федерации за пределами Российской Федерации не допускаются.</w:t>
      </w:r>
    </w:p>
    <w:p w:rsidR="004625E5" w:rsidRPr="00142925" w:rsidRDefault="004625E5" w:rsidP="004625E5">
      <w:pPr>
        <w:spacing w:before="144" w:after="288"/>
        <w:jc w:val="both"/>
        <w:rPr>
          <w:color w:val="000000"/>
        </w:rPr>
      </w:pPr>
      <w:r w:rsidRPr="00142925">
        <w:rPr>
          <w:color w:val="000000"/>
        </w:rPr>
        <w:t>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w:t>
      </w:r>
    </w:p>
    <w:p w:rsidR="004625E5" w:rsidRPr="00D866A6" w:rsidRDefault="004625E5" w:rsidP="004625E5">
      <w:pPr>
        <w:rPr>
          <w:rStyle w:val="blk"/>
          <w:b/>
        </w:rPr>
      </w:pPr>
      <w:r>
        <w:rPr>
          <w:b/>
        </w:rPr>
        <w:t>3</w:t>
      </w:r>
      <w:r w:rsidRPr="00D866A6">
        <w:rPr>
          <w:b/>
        </w:rPr>
        <w:t xml:space="preserve">. </w:t>
      </w:r>
      <w:r>
        <w:rPr>
          <w:b/>
        </w:rPr>
        <w:t xml:space="preserve">Ст. </w:t>
      </w:r>
      <w:r w:rsidRPr="00D866A6">
        <w:rPr>
          <w:rStyle w:val="blk"/>
          <w:b/>
        </w:rPr>
        <w:t>2</w:t>
      </w:r>
      <w:r>
        <w:rPr>
          <w:rStyle w:val="blk"/>
          <w:b/>
        </w:rPr>
        <w:t>7 изложить в следующей редакции</w:t>
      </w:r>
      <w:r w:rsidRPr="00D866A6">
        <w:rPr>
          <w:rStyle w:val="blk"/>
          <w:b/>
        </w:rPr>
        <w:t>:</w:t>
      </w:r>
    </w:p>
    <w:p w:rsidR="004625E5" w:rsidRPr="00142925" w:rsidRDefault="004625E5" w:rsidP="004625E5">
      <w:pPr>
        <w:ind w:firstLine="540"/>
        <w:jc w:val="both"/>
        <w:rPr>
          <w:rFonts w:ascii="Verdana" w:hAnsi="Verdana"/>
          <w:sz w:val="21"/>
          <w:szCs w:val="21"/>
        </w:rPr>
      </w:pPr>
      <w:r w:rsidRPr="00142925">
        <w:t>а) в наименовании слова "и муниципальных" заменить словом "(муниципальных)";</w:t>
      </w:r>
    </w:p>
    <w:p w:rsidR="004625E5" w:rsidRPr="00142925" w:rsidRDefault="004625E5" w:rsidP="004625E5">
      <w:pPr>
        <w:ind w:firstLine="540"/>
        <w:jc w:val="both"/>
        <w:rPr>
          <w:rFonts w:ascii="Verdana" w:hAnsi="Verdana"/>
          <w:sz w:val="21"/>
          <w:szCs w:val="21"/>
        </w:rPr>
      </w:pPr>
      <w:r w:rsidRPr="00142925">
        <w:t>б) пункт 1 изложить в следующей редакции:</w:t>
      </w:r>
    </w:p>
    <w:p w:rsidR="004625E5" w:rsidRPr="00142925" w:rsidRDefault="004625E5" w:rsidP="004625E5">
      <w:pPr>
        <w:ind w:firstLine="540"/>
        <w:jc w:val="both"/>
        <w:rPr>
          <w:rFonts w:ascii="Verdana" w:hAnsi="Verdana"/>
          <w:sz w:val="21"/>
          <w:szCs w:val="21"/>
        </w:rPr>
      </w:pPr>
      <w:r w:rsidRPr="00142925">
        <w:t>"1. Предоставление государственных гарантий Российской Федерации, государственных гарантий субъектов Российской Федерации,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а также договора о предоставлении государственной (муниципальной) гарантии.";</w:t>
      </w:r>
    </w:p>
    <w:p w:rsidR="004625E5" w:rsidRPr="00142925" w:rsidRDefault="004625E5" w:rsidP="004625E5">
      <w:pPr>
        <w:ind w:firstLine="540"/>
        <w:jc w:val="both"/>
        <w:rPr>
          <w:rFonts w:ascii="Verdana" w:hAnsi="Verdana"/>
          <w:sz w:val="21"/>
          <w:szCs w:val="21"/>
        </w:rPr>
      </w:pPr>
      <w:r w:rsidRPr="00142925">
        <w:t>в) дополнить пунктом 1.1 следующего содержания:</w:t>
      </w:r>
    </w:p>
    <w:p w:rsidR="004625E5" w:rsidRPr="00142925" w:rsidRDefault="004625E5" w:rsidP="004625E5">
      <w:pPr>
        <w:ind w:firstLine="540"/>
        <w:jc w:val="both"/>
        <w:rPr>
          <w:rFonts w:ascii="Verdana" w:hAnsi="Verdana"/>
          <w:sz w:val="21"/>
          <w:szCs w:val="21"/>
        </w:rPr>
      </w:pPr>
      <w:r w:rsidRPr="00142925">
        <w:t>"1.1. 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p w:rsidR="004625E5" w:rsidRPr="00142925" w:rsidRDefault="004625E5" w:rsidP="004625E5">
      <w:pPr>
        <w:ind w:firstLine="540"/>
        <w:jc w:val="both"/>
        <w:rPr>
          <w:rFonts w:ascii="Verdana" w:hAnsi="Verdana"/>
          <w:sz w:val="21"/>
          <w:szCs w:val="21"/>
        </w:rPr>
      </w:pPr>
      <w:r w:rsidRPr="00142925">
        <w:t>финансовое состояние принципала является удовлетворительным;</w:t>
      </w:r>
    </w:p>
    <w:p w:rsidR="004625E5" w:rsidRPr="00142925" w:rsidRDefault="004625E5" w:rsidP="004625E5">
      <w:pPr>
        <w:ind w:firstLine="540"/>
        <w:jc w:val="both"/>
        <w:rPr>
          <w:rFonts w:ascii="Verdana" w:hAnsi="Verdana"/>
          <w:sz w:val="21"/>
          <w:szCs w:val="21"/>
        </w:rPr>
      </w:pPr>
      <w:r w:rsidRPr="00142925">
        <w:t>предоставление принципалом, третьим лицом до даты выдачи государственной (муниципальной) гарантии соответствующего требованиям статьи 115.3 настоящего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4625E5" w:rsidRPr="00142925" w:rsidRDefault="004625E5" w:rsidP="004625E5">
      <w:pPr>
        <w:ind w:firstLine="540"/>
        <w:jc w:val="both"/>
        <w:rPr>
          <w:rFonts w:ascii="Verdana" w:hAnsi="Verdana"/>
          <w:sz w:val="21"/>
          <w:szCs w:val="21"/>
        </w:rPr>
      </w:pPr>
      <w:r w:rsidRPr="00142925">
        <w:lastRenderedPageBreak/>
        <w:t>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rsidR="004625E5" w:rsidRPr="00142925" w:rsidRDefault="004625E5" w:rsidP="004625E5">
      <w:pPr>
        <w:ind w:firstLine="540"/>
        <w:jc w:val="both"/>
        <w:rPr>
          <w:rFonts w:ascii="Verdana" w:hAnsi="Verdana"/>
          <w:sz w:val="21"/>
          <w:szCs w:val="21"/>
        </w:rPr>
      </w:pPr>
      <w:r w:rsidRPr="00142925">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4625E5" w:rsidRPr="00142925" w:rsidRDefault="004625E5" w:rsidP="004625E5">
      <w:pPr>
        <w:ind w:firstLine="540"/>
        <w:jc w:val="both"/>
        <w:rPr>
          <w:rFonts w:ascii="Verdana" w:hAnsi="Verdana"/>
          <w:sz w:val="21"/>
          <w:szCs w:val="21"/>
        </w:rPr>
      </w:pPr>
      <w:r w:rsidRPr="00142925">
        <w:t>г) в пункте 2 слова "или муниципальной" заменить словом "(муниципальной)", слова "органом, принимающим решение о предоставлении гарантии," заменить словами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4625E5" w:rsidRPr="00142925" w:rsidRDefault="004625E5" w:rsidP="004625E5">
      <w:pPr>
        <w:ind w:firstLine="540"/>
        <w:jc w:val="both"/>
        <w:rPr>
          <w:rFonts w:ascii="Verdana" w:hAnsi="Verdana"/>
          <w:sz w:val="21"/>
          <w:szCs w:val="21"/>
        </w:rPr>
      </w:pPr>
      <w:r w:rsidRPr="00142925">
        <w:t>д) пункт 3 изложить в следующей редакции:</w:t>
      </w:r>
    </w:p>
    <w:p w:rsidR="004625E5" w:rsidRPr="00142925" w:rsidRDefault="004625E5" w:rsidP="004625E5">
      <w:pPr>
        <w:ind w:firstLine="540"/>
        <w:jc w:val="both"/>
        <w:rPr>
          <w:rFonts w:ascii="Verdana" w:hAnsi="Verdana"/>
          <w:sz w:val="21"/>
          <w:szCs w:val="21"/>
        </w:rPr>
      </w:pPr>
      <w:r w:rsidRPr="00142925">
        <w:t>"3. 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1.1 настоящей статьи, при предоставлении государственной гарантии Российской Федерации осуществляются в соответствии с актами Правительства Российской Федерации Министерством финансов Российской Федерации либо агентом, привлеченным в соответствии с пунктом 5 настоящей статьи. После предоставления государственной гарантии Российской Федерации мониторинг финансового состояния принципала, контроль за достаточностью, надежностью и ликвидностью предоставленного обеспечения осуществляются агентом, привлеченным в соответствии с пунктом 5 настоящей статьи, а в случаях, установленных Правительством Российской Федерации, - Министерством финансов Российской Федерации.</w:t>
      </w:r>
    </w:p>
    <w:p w:rsidR="004625E5" w:rsidRPr="00142925" w:rsidRDefault="004625E5" w:rsidP="004625E5">
      <w:pPr>
        <w:ind w:firstLine="540"/>
        <w:jc w:val="both"/>
        <w:rPr>
          <w:rFonts w:ascii="Verdana" w:hAnsi="Verdana"/>
          <w:sz w:val="21"/>
          <w:szCs w:val="21"/>
        </w:rPr>
      </w:pPr>
      <w:r w:rsidRPr="00142925">
        <w:t>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1.1 настоящей статьи, при предоставлении государственной гарантии субъекта Российской Федерации или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субъекта Российской Федерации или муниципальной гарантии осуществляются в соответствии с актами высшего исполнительного органа государственной власти субъекта Российской Федерации, местной администрации соответственно финансовым органом субъекта Российской Федерации, финансовым органом муниципального образования либо агентом, привлеченным в соответствии с пунктом 5 настоящей статьи.";</w:t>
      </w:r>
    </w:p>
    <w:p w:rsidR="004625E5" w:rsidRPr="00142925" w:rsidRDefault="004625E5" w:rsidP="004625E5">
      <w:pPr>
        <w:ind w:firstLine="540"/>
        <w:jc w:val="both"/>
        <w:rPr>
          <w:rFonts w:ascii="Verdana" w:hAnsi="Verdana"/>
          <w:sz w:val="21"/>
          <w:szCs w:val="21"/>
        </w:rPr>
      </w:pPr>
      <w:r w:rsidRPr="00142925">
        <w:t xml:space="preserve">е) пункт 4 дополнить предложением следующего содержания: "Общий объем бюджетных ассигнований, которые должны быть предусмотрены на исполнение государственных гарантий Российской Федерации, государственных гарантий субъектов Российской Федерации, муниципальных гарантий по возможным гарантийным случаям, указывается в текстовых статьях федерального закона, закона субъекта Российской Федерации, решения представительного </w:t>
      </w:r>
      <w:r w:rsidRPr="00142925">
        <w:lastRenderedPageBreak/>
        <w:t>органа муниципального образования о бюджете на очередной финансовый год (очередной финансовый год и плановый период).";</w:t>
      </w:r>
    </w:p>
    <w:p w:rsidR="004625E5" w:rsidRPr="00142925" w:rsidRDefault="004625E5" w:rsidP="004625E5">
      <w:pPr>
        <w:ind w:firstLine="540"/>
        <w:jc w:val="both"/>
        <w:rPr>
          <w:rFonts w:ascii="Verdana" w:hAnsi="Verdana"/>
          <w:sz w:val="21"/>
          <w:szCs w:val="21"/>
        </w:rPr>
      </w:pPr>
      <w:r w:rsidRPr="00142925">
        <w:t>ж) пункт 5 изложить в следующей редакции:</w:t>
      </w:r>
    </w:p>
    <w:p w:rsidR="004625E5" w:rsidRPr="00142925" w:rsidRDefault="004625E5" w:rsidP="004625E5">
      <w:pPr>
        <w:ind w:firstLine="540"/>
        <w:jc w:val="both"/>
        <w:rPr>
          <w:rFonts w:ascii="Verdana" w:hAnsi="Verdana"/>
          <w:sz w:val="21"/>
          <w:szCs w:val="21"/>
        </w:rPr>
      </w:pPr>
      <w:r w:rsidRPr="00142925">
        <w:t>"5. Предоставление и исполнение государственных (муниципальных) гарантий, в том числе анализ финансового состояния принципала, его поручителей (гарантов), ведение аналитического учета обязательств принципала, его поручителей (гарантов) и иных лиц, возникающих в связи с предоставлением и исполнением государственных (муниципальных) гарантий, взыскание задолженности указанных лиц, осуществляются с участием агента, привлекаемого Правительством Российской Федерации в соответствии с федеральным законом о федеральном бюджете, высшим исполнительным органом государственной власти субъекта Российской Федерации в соответствии с законом субъекта Российской Федерации о бюджете субъекта Российской Федерации, местной администрацией муниципального образования в соответствии с муниципальным правовым актом представительного органа муниципального образования о местном бюджете соответственно.";</w:t>
      </w:r>
    </w:p>
    <w:p w:rsidR="004625E5" w:rsidRPr="00D866A6" w:rsidRDefault="004625E5" w:rsidP="004625E5">
      <w:pPr>
        <w:jc w:val="both"/>
        <w:rPr>
          <w:b/>
        </w:rPr>
      </w:pPr>
    </w:p>
    <w:p w:rsidR="004625E5" w:rsidRDefault="004625E5" w:rsidP="004625E5">
      <w:pPr>
        <w:tabs>
          <w:tab w:val="left" w:pos="426"/>
        </w:tabs>
        <w:autoSpaceDE w:val="0"/>
        <w:autoSpaceDN w:val="0"/>
        <w:adjustRightInd w:val="0"/>
        <w:jc w:val="both"/>
      </w:pPr>
      <w:r>
        <w:t xml:space="preserve">4. </w:t>
      </w:r>
      <w:r w:rsidRPr="00D866A6">
        <w:t xml:space="preserve">Настоящее Решение подлежит опубликованию на официальном сайте </w:t>
      </w:r>
      <w:r>
        <w:t>МО «</w:t>
      </w:r>
      <w:proofErr w:type="spellStart"/>
      <w:r>
        <w:t>Онгудайский</w:t>
      </w:r>
      <w:proofErr w:type="spellEnd"/>
      <w:r>
        <w:t xml:space="preserve"> район» на странице </w:t>
      </w:r>
      <w:r w:rsidR="00012993">
        <w:t>Хабаровского</w:t>
      </w:r>
      <w:r w:rsidRPr="00D866A6">
        <w:t xml:space="preserve"> сельского поселения.</w:t>
      </w:r>
    </w:p>
    <w:p w:rsidR="004625E5" w:rsidRPr="00D866A6" w:rsidRDefault="004625E5" w:rsidP="004625E5">
      <w:pPr>
        <w:tabs>
          <w:tab w:val="left" w:pos="426"/>
        </w:tabs>
        <w:autoSpaceDE w:val="0"/>
        <w:autoSpaceDN w:val="0"/>
        <w:adjustRightInd w:val="0"/>
        <w:jc w:val="both"/>
      </w:pPr>
      <w:r>
        <w:t xml:space="preserve">5. </w:t>
      </w:r>
      <w:r w:rsidRPr="00D866A6">
        <w:t>Настоящее Решение вступает в силу после его подписания.</w:t>
      </w:r>
    </w:p>
    <w:p w:rsidR="006B14B1" w:rsidRDefault="006B14B1"/>
    <w:p w:rsidR="007C7F2E" w:rsidRDefault="007C7F2E"/>
    <w:p w:rsidR="007C7F2E" w:rsidRDefault="007C7F2E"/>
    <w:p w:rsidR="007C7F2E" w:rsidRDefault="007C7F2E">
      <w:r>
        <w:t xml:space="preserve">Глава сельского поселения                                                                   </w:t>
      </w:r>
      <w:bookmarkStart w:id="0" w:name="_GoBack"/>
      <w:bookmarkEnd w:id="0"/>
      <w:r>
        <w:t xml:space="preserve">     </w:t>
      </w:r>
      <w:proofErr w:type="spellStart"/>
      <w:r>
        <w:t>Р.У.Теренгина</w:t>
      </w:r>
      <w:proofErr w:type="spellEnd"/>
    </w:p>
    <w:sectPr w:rsidR="007C7F2E" w:rsidSect="006B14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67CAE"/>
    <w:multiLevelType w:val="hybridMultilevel"/>
    <w:tmpl w:val="C8666832"/>
    <w:lvl w:ilvl="0" w:tplc="5EC2BBD2">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6A521F"/>
    <w:rsid w:val="00012993"/>
    <w:rsid w:val="000222C8"/>
    <w:rsid w:val="00022CBD"/>
    <w:rsid w:val="00032EC9"/>
    <w:rsid w:val="000679EA"/>
    <w:rsid w:val="00073EAF"/>
    <w:rsid w:val="00087939"/>
    <w:rsid w:val="000D7825"/>
    <w:rsid w:val="001403EA"/>
    <w:rsid w:val="00160F16"/>
    <w:rsid w:val="00163660"/>
    <w:rsid w:val="00164CFC"/>
    <w:rsid w:val="001A1F43"/>
    <w:rsid w:val="001A307A"/>
    <w:rsid w:val="001A6D04"/>
    <w:rsid w:val="001B07DB"/>
    <w:rsid w:val="001B63FF"/>
    <w:rsid w:val="001C43A6"/>
    <w:rsid w:val="00200DDF"/>
    <w:rsid w:val="00214195"/>
    <w:rsid w:val="00221720"/>
    <w:rsid w:val="0023118D"/>
    <w:rsid w:val="00275FA9"/>
    <w:rsid w:val="00286180"/>
    <w:rsid w:val="002A480E"/>
    <w:rsid w:val="002A5756"/>
    <w:rsid w:val="002B794D"/>
    <w:rsid w:val="003767F4"/>
    <w:rsid w:val="003A0A13"/>
    <w:rsid w:val="003E0190"/>
    <w:rsid w:val="00451BBB"/>
    <w:rsid w:val="004625E5"/>
    <w:rsid w:val="004744D0"/>
    <w:rsid w:val="00511135"/>
    <w:rsid w:val="00553FB8"/>
    <w:rsid w:val="00563A91"/>
    <w:rsid w:val="005A2E5B"/>
    <w:rsid w:val="005E5A25"/>
    <w:rsid w:val="005F7F23"/>
    <w:rsid w:val="00602904"/>
    <w:rsid w:val="006642B6"/>
    <w:rsid w:val="0067055B"/>
    <w:rsid w:val="006A35FA"/>
    <w:rsid w:val="006A521F"/>
    <w:rsid w:val="006B14B1"/>
    <w:rsid w:val="006B64E7"/>
    <w:rsid w:val="006B75CA"/>
    <w:rsid w:val="006C4736"/>
    <w:rsid w:val="006D70A0"/>
    <w:rsid w:val="006F6818"/>
    <w:rsid w:val="007516B5"/>
    <w:rsid w:val="007578F7"/>
    <w:rsid w:val="00770B9C"/>
    <w:rsid w:val="007747AC"/>
    <w:rsid w:val="0077663E"/>
    <w:rsid w:val="007962F8"/>
    <w:rsid w:val="007A2F54"/>
    <w:rsid w:val="007C7F2E"/>
    <w:rsid w:val="007E5D97"/>
    <w:rsid w:val="008220DB"/>
    <w:rsid w:val="00834B1C"/>
    <w:rsid w:val="00835FE7"/>
    <w:rsid w:val="008659F4"/>
    <w:rsid w:val="008C281E"/>
    <w:rsid w:val="008C6FE5"/>
    <w:rsid w:val="00935DA7"/>
    <w:rsid w:val="00946FD7"/>
    <w:rsid w:val="0095797F"/>
    <w:rsid w:val="00983DDE"/>
    <w:rsid w:val="00991197"/>
    <w:rsid w:val="009C0109"/>
    <w:rsid w:val="009C369B"/>
    <w:rsid w:val="009C43A9"/>
    <w:rsid w:val="009C54C3"/>
    <w:rsid w:val="009E55D9"/>
    <w:rsid w:val="009F4CAC"/>
    <w:rsid w:val="009F6199"/>
    <w:rsid w:val="00A027A7"/>
    <w:rsid w:val="00AB5C72"/>
    <w:rsid w:val="00AE4C84"/>
    <w:rsid w:val="00B0747C"/>
    <w:rsid w:val="00B27C6C"/>
    <w:rsid w:val="00B430B5"/>
    <w:rsid w:val="00B438CF"/>
    <w:rsid w:val="00B771B3"/>
    <w:rsid w:val="00BE6B0C"/>
    <w:rsid w:val="00C03B13"/>
    <w:rsid w:val="00C048B3"/>
    <w:rsid w:val="00C06149"/>
    <w:rsid w:val="00C106F9"/>
    <w:rsid w:val="00C123B0"/>
    <w:rsid w:val="00C3789D"/>
    <w:rsid w:val="00C46AA0"/>
    <w:rsid w:val="00C7516B"/>
    <w:rsid w:val="00C8605A"/>
    <w:rsid w:val="00C92DE2"/>
    <w:rsid w:val="00CC6D3E"/>
    <w:rsid w:val="00D11531"/>
    <w:rsid w:val="00D2338B"/>
    <w:rsid w:val="00D23FA2"/>
    <w:rsid w:val="00D55FE3"/>
    <w:rsid w:val="00D61E5A"/>
    <w:rsid w:val="00D87C70"/>
    <w:rsid w:val="00DA3570"/>
    <w:rsid w:val="00DB0B10"/>
    <w:rsid w:val="00DE5F6E"/>
    <w:rsid w:val="00DE6782"/>
    <w:rsid w:val="00DE7029"/>
    <w:rsid w:val="00E2302F"/>
    <w:rsid w:val="00E24D62"/>
    <w:rsid w:val="00E642F6"/>
    <w:rsid w:val="00EA1415"/>
    <w:rsid w:val="00EA6825"/>
    <w:rsid w:val="00EC2EEB"/>
    <w:rsid w:val="00EF2DDB"/>
    <w:rsid w:val="00F10D94"/>
    <w:rsid w:val="00F17B61"/>
    <w:rsid w:val="00F2529E"/>
    <w:rsid w:val="00F34C8A"/>
    <w:rsid w:val="00F465EC"/>
    <w:rsid w:val="00F6472F"/>
    <w:rsid w:val="00F700C9"/>
    <w:rsid w:val="00F850D8"/>
    <w:rsid w:val="00FB4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B5F1"/>
  <w15:docId w15:val="{A17258D3-A258-47B7-8219-B531401A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4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uiPriority w:val="99"/>
    <w:rsid w:val="00D2338B"/>
  </w:style>
  <w:style w:type="paragraph" w:styleId="a3">
    <w:name w:val="Normal (Web)"/>
    <w:basedOn w:val="a"/>
    <w:uiPriority w:val="99"/>
    <w:semiHidden/>
    <w:unhideWhenUsed/>
    <w:rsid w:val="00073E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911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75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3257</Words>
  <Characters>18567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77</cp:revision>
  <dcterms:created xsi:type="dcterms:W3CDTF">2019-02-20T02:54:00Z</dcterms:created>
  <dcterms:modified xsi:type="dcterms:W3CDTF">2020-06-04T03:07:00Z</dcterms:modified>
</cp:coreProperties>
</file>