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1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61"/>
        <w:ind w:left="4960" w:right="1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”Об исполнении бюджета муниципального образования "Онгудайский район” за 2021 год”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0"/>
        <w:ind w:left="3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бюджетных ассигнований по разделам, подразделам классификации расходов</w:t>
        <w:br/>
        <w:t>бюджета муниципального образования "Онгудайский район" за 2021 год</w:t>
      </w:r>
      <w:bookmarkEnd w:id="0"/>
    </w:p>
    <w:p>
      <w:pPr>
        <w:pStyle w:val="Style9"/>
        <w:framePr w:w="7531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left"/>
      </w:tblPr>
      <w:tblGrid>
        <w:gridCol w:w="3350"/>
        <w:gridCol w:w="682"/>
        <w:gridCol w:w="682"/>
        <w:gridCol w:w="955"/>
        <w:gridCol w:w="1171"/>
        <w:gridCol w:w="691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20" w:lineRule="exact"/>
              <w:ind w:left="0" w:right="0" w:firstLine="0"/>
            </w:pPr>
            <w:r>
              <w:rPr>
                <w:rStyle w:val="CharStyle13"/>
              </w:rPr>
              <w:t>Уточненный</w:t>
            </w:r>
          </w:p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3"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line="120" w:lineRule="exact"/>
              <w:ind w:left="0" w:right="0" w:firstLine="0"/>
            </w:pPr>
            <w:r>
              <w:rPr>
                <w:rStyle w:val="CharStyle13"/>
              </w:rPr>
              <w:t>Кассовое</w:t>
            </w:r>
          </w:p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3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Процент</w:t>
            </w:r>
          </w:p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исполнен</w:t>
            </w:r>
          </w:p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ия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31089,6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31021,7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99,8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2223,0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2134,7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2107,7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98,7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17851,1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17832,4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7242,6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7238,1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1373,1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1364,8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5400,4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5381,6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99,7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5385,4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5366,7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58491,3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52087,8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89,1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823,5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725,4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88,1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69,9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18617,5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83,0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32909,9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31118,7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94,6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27875,7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23575,3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84,6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6699,2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5844,2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87,2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19660,5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16771,9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85,3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1515,9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959,2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63,3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528439,4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525503,6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99,4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99285,1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98905,1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357456,6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355174,2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50552,6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50288,4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99,5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1354,3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1354,3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19790,8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19781,6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60823,7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60823,7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49630,9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49630,9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11192,8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11192,8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6104,1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6097,6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99,9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2539,9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2539,9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2436,6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99,7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 xml:space="preserve">й </w:t>
            </w:r>
            <w:r>
              <w:rPr>
                <w:rStyle w:val="CharStyle14"/>
              </w:rPr>
              <w:t xml:space="preserve">1 </w:t>
            </w: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1574,8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300" w:right="0" w:firstLine="0"/>
            </w:pPr>
            <w:r>
              <w:rPr>
                <w:rStyle w:val="CharStyle15"/>
              </w:rPr>
              <w:t>12 |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48868,6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48868,6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100,0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5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22974,7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5"/>
              </w:rPr>
              <w:t>22974,7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6"/>
              </w:rPr>
              <w:t>100,0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53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771023,4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757290,5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1"/>
              <w:framePr w:w="753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98,2</w:t>
            </w:r>
          </w:p>
        </w:tc>
      </w:tr>
    </w:tbl>
    <w:p>
      <w:pPr>
        <w:framePr w:w="753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72" w:left="1173" w:right="681" w:bottom="520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3">
    <w:name w:val="Основной текст (2) + Times New Roman,6 pt,Полужирный"/>
    <w:basedOn w:val="CharStyle12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7,5 pt,Полужирный"/>
    <w:basedOn w:val="CharStyle12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6 pt"/>
    <w:basedOn w:val="CharStyle12"/>
    <w:rPr>
      <w:lang w:val="ru-RU" w:eastAsia="ru-RU" w:bidi="ru-RU"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">
    <w:name w:val="Основной текст (2) + Times New Roman,6,5 pt"/>
    <w:basedOn w:val="CharStyle12"/>
    <w:rPr>
      <w:lang w:val="ru-RU" w:eastAsia="ru-RU" w:bidi="ru-RU"/>
      <w:sz w:val="13"/>
      <w:szCs w:val="1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jc w:val="right"/>
      <w:spacing w:after="18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80"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