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98" w:lineRule="exact"/>
        <w:rPr>
          <w:sz w:val="8"/>
          <w:szCs w:val="8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564" w:left="0" w:right="0" w:bottom="1564" w:header="0" w:footer="3" w:gutter="0"/>
          <w:rtlGutter w:val="0"/>
          <w:cols w:space="720"/>
          <w:pgNumType w:start="6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7" type="#_x0000_t202" style="position:absolute;margin-left:531.1pt;margin-top:0.1pt;width:155.75pt;height:22.0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7"/>
                    </w:rPr>
                    <w:t>к решению ”О бюджете муниципального образования "Онгудайский район” на 2022 год и на плановый период 2023 и 2024 годов"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57.35pt;margin-top:42.4pt;width:606.7pt;height:16.6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0" w:line="140" w:lineRule="exact"/>
                    <w:ind w:left="0" w:right="0" w:firstLine="0"/>
                  </w:pPr>
                  <w:bookmarkStart w:id="0" w:name="bookmark0"/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Объем бюджетных ассигнований, направляемых на исполнение публичных нормативных обязательств по муниципальному образованию "Онгудайский район" на 2022год</w:t>
                  </w:r>
                  <w:bookmarkEnd w:id="0"/>
                </w:p>
                <w:p>
                  <w:pPr>
                    <w:pStyle w:val="Style10"/>
                    <w:tabs>
                      <w:tab w:leader="underscore" w:pos="1157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9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</w:r>
                  <w:r>
                    <w:rPr>
                      <w:rStyle w:val="CharStyle12"/>
                    </w:rPr>
                    <w:t>(тыс.рублей)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5.e-002pt;margin-top:57.85pt;width:691.2pt;height:5.e-002pt;z-index:251657730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445"/>
                    <w:gridCol w:w="2280"/>
                    <w:gridCol w:w="2386"/>
                    <w:gridCol w:w="1128"/>
                    <w:gridCol w:w="1234"/>
                    <w:gridCol w:w="1118"/>
                    <w:gridCol w:w="1037"/>
                    <w:gridCol w:w="806"/>
                    <w:gridCol w:w="1253"/>
                    <w:gridCol w:w="1138"/>
                  </w:tblGrid>
                  <w:tr>
                    <w:trPr>
                      <w:trHeight w:val="144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Главный распорядитель бюджетных средств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Наименование публичного нормативного обязательства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Нормативный правовой акт, определяющий публичное нормативное обязательство</w:t>
                        </w:r>
                      </w:p>
                    </w:tc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изменения +,-</w:t>
                        </w:r>
                      </w:p>
                    </w:tc>
                    <w:tc>
                      <w:tcPr>
                        <w:shd w:val="clear" w:color="auto" w:fill="FFFFFF"/>
                        <w:gridSpan w:val="4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Уточненный план на 2022 год</w:t>
                        </w:r>
                      </w:p>
                    </w:tc>
                  </w:tr>
                  <w:tr>
                    <w:trPr>
                      <w:trHeight w:val="139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60" w:line="140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Федераль-ные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60" w:after="0" w:line="140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средства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60" w:line="140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Республи-канские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60" w:after="0" w:line="140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средства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60" w:line="140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Местные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60" w:after="0" w:line="140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средства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Всего</w:t>
                        </w:r>
                      </w:p>
                    </w:tc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в том числе</w:t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Федераль</w:t>
                          <w:softHyphen/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ные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средства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60" w:line="140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Республи-канские</w:t>
                        </w:r>
                      </w:p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60" w:after="0" w:line="140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средства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Местные средства</w:t>
                        </w:r>
                      </w:p>
                    </w:tc>
                  </w:tr>
                  <w:tr>
                    <w:trPr>
                      <w:trHeight w:val="1214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Администрация района (аймака) муниципального образования "Онгудайский район"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Федеральный закон от 12 января 1995 года № 5-ФЗ «О ветеранах»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- 778,57000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392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Осуществление назначения и выплаты доплат к пенсиям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Решение Совета депутатов№24-6 от 30.03.2017г " Об утверждении Положения об условиях предоставлеия права на пенсию за выслугу лет муниципальным служащим муниципального образования "Онгудайский район", о порядке её назначения, переасчета и выплаты"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278,37000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1 050,00000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1 050,00000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Итого по Администрации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- 778,57000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278,37000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1 050,00000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1 050,00000</w:t>
                        </w:r>
                      </w:p>
                    </w:tc>
                  </w:tr>
                  <w:tr>
                    <w:trPr>
                      <w:trHeight w:val="1843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Отдел образования Онгудайского района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Закон Республики Алтай от 15.11.2013г №59-РЗ "Об образовании в Республике Алтай"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233,20000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4 662,90000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4 662,90000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248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8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Закон Республики Алтай от 15.11.2013г №59-РЗ "Об образовании в Республике Алтай"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- 0,20000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165,20000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165,20000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5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Итого по Отделу образования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233,00000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4 828,10000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4 828,10000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Итого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- 778,57000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233,00000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278,37000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5 878,10000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580" w:right="0" w:firstLine="0"/>
                        </w:pPr>
                        <w:r>
                          <w:rPr>
                            <w:rStyle w:val="CharStyle14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4"/>
                          </w:rPr>
                          <w:t>4 828,10000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6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40" w:lineRule="exact"/>
                          <w:ind w:left="0" w:right="160" w:firstLine="0"/>
                        </w:pPr>
                        <w:r>
                          <w:rPr>
                            <w:rStyle w:val="CharStyle14"/>
                          </w:rPr>
                          <w:t>1 050,00000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78" w:lineRule="exact"/>
      </w:pPr>
    </w:p>
    <w:p>
      <w:pPr>
        <w:widowControl w:val="0"/>
        <w:rPr>
          <w:sz w:val="2"/>
          <w:szCs w:val="2"/>
        </w:rPr>
      </w:pPr>
    </w:p>
    <w:sectPr>
      <w:type w:val="continuous"/>
      <w:pgSz w:w="16840" w:h="11900" w:orient="landscape"/>
      <w:pgMar w:top="1564" w:left="572" w:right="2444" w:bottom="1564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2.6pt;margin-top:70.4pt;width:34.8pt;height:4.8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5">
    <w:name w:val="Колонтитул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9">
    <w:name w:val="Заголовок №4 Exact"/>
    <w:basedOn w:val="DefaultParagraphFont"/>
    <w:link w:val="Style8"/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1">
    <w:name w:val="Основной текст (3) Exact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12">
    <w:name w:val="Основной текст (3) Exact"/>
    <w:basedOn w:val="CharStyle1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">
    <w:name w:val="Основной текст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4">
    <w:name w:val="Основной текст (2) + 7 pt,Полужирный"/>
    <w:basedOn w:val="CharStyle13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15">
    <w:name w:val="Основной текст (2)"/>
    <w:basedOn w:val="CharStyle13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6">
    <w:name w:val="Основной текст (2)"/>
    <w:basedOn w:val="Normal"/>
    <w:link w:val="CharStyle13"/>
    <w:pPr>
      <w:widowControl w:val="0"/>
      <w:shd w:val="clear" w:color="auto" w:fill="FFFFFF"/>
      <w:spacing w:line="13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8">
    <w:name w:val="Заголовок №4"/>
    <w:basedOn w:val="Normal"/>
    <w:link w:val="CharStyle9"/>
    <w:pPr>
      <w:widowControl w:val="0"/>
      <w:shd w:val="clear" w:color="auto" w:fill="FFFFFF"/>
      <w:jc w:val="both"/>
      <w:outlineLvl w:val="3"/>
      <w:spacing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10">
    <w:name w:val="Основной текст (3)"/>
    <w:basedOn w:val="Normal"/>
    <w:link w:val="CharStyle11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