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6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25</w:t>
      </w:r>
    </w:p>
    <w:p>
      <w:pPr>
        <w:pStyle w:val="Style5"/>
        <w:tabs>
          <w:tab w:leader="underscore" w:pos="7813" w:val="left"/>
          <w:tab w:leader="underscore" w:pos="82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77"/>
        <w:ind w:left="644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 21-2 от 22.12.2020г., №</w:t>
        <w:tab/>
        <w:t>от</w:t>
        <w:tab/>
        <w:t>2021г.)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4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район” на 2021 год</w:t>
      </w:r>
    </w:p>
    <w:p>
      <w:pPr>
        <w:pStyle w:val="Style9"/>
        <w:framePr w:w="97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714"/>
        <w:gridCol w:w="1406"/>
        <w:gridCol w:w="1718"/>
        <w:gridCol w:w="1906"/>
      </w:tblGrid>
      <w:tr>
        <w:trPr>
          <w:trHeight w:val="26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2021 год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Привлечение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127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Объем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80" w:right="0" w:firstLine="0"/>
            </w:pPr>
            <w:r>
              <w:rPr>
                <w:rStyle w:val="CharStyle11"/>
              </w:rPr>
              <w:t>привлечения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Предельные сроки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погашения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привлеченных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долговых</w:t>
            </w:r>
          </w:p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обязательств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744" w:wrap="notBeside" w:vAnchor="text" w:hAnchor="text" w:xAlign="center" w:y="1"/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2"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-633,0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74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-633,0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11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97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24" w:left="1303" w:right="267" w:bottom="469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Основной текст (7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 + 9,5 pt"/>
    <w:basedOn w:val="CharStyle6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Полужирный"/>
    <w:basedOn w:val="CharStyle6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Основной текст (7)"/>
    <w:basedOn w:val="Normal"/>
    <w:link w:val="CharStyle8"/>
    <w:pPr>
      <w:widowControl w:val="0"/>
      <w:shd w:val="clear" w:color="auto" w:fill="FFFFFF"/>
      <w:jc w:val="center"/>
      <w:spacing w:before="360" w:after="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