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6"/>
        <w:ind w:left="5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бюджете муниципального образования "Онгудайский район” на 2022 год и на плановый период 2023 и 2024 годов"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7" w:line="11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</w:t>
        <w:br/>
        <w:t>образования "Онгудайский район" на 2022 год</w:t>
      </w:r>
    </w:p>
    <w:p>
      <w:pPr>
        <w:pStyle w:val="Style13"/>
        <w:framePr w:w="681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2"/>
        <w:gridCol w:w="643"/>
        <w:gridCol w:w="638"/>
        <w:gridCol w:w="1099"/>
        <w:gridCol w:w="1109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7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7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Уточненный план 2022г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5171,74658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34240,48758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1980,07351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2044,60099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2273,22436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16738,66636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84,70000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278,98672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6977,74672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411,00000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4800,00000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51,98800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1203,70000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1164,29633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4654,02633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994,48000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4339,65000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314,37633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14219,68000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36413,33000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1203,80000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13972,67000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13202,00000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21236,86000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10488,24816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18799,29816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9911,20816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17622,25816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1177,04000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100040,33368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453449,09980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21328,51600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88375,67000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62151,20768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309337,77980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13369,63000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35682,31000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77,10000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1589,90000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3113,88000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18463,44000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20597,31744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68494,46744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19591,51744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59558,89744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1005,80000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8935,57000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-160,38740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6765,33469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1050,00000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-680,55740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950,43469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4676,90000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88,00000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 xml:space="preserve">11 </w:t>
            </w:r>
            <w:r>
              <w:rPr>
                <w:rStyle w:val="CharStyle17"/>
              </w:rPr>
              <w:t xml:space="preserve">1 </w:t>
            </w: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361,90000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2096,99000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8"/>
              </w:rPr>
              <w:t xml:space="preserve">12 </w:t>
            </w:r>
            <w:r>
              <w:rPr>
                <w:rStyle w:val="CharStyle17"/>
              </w:rPr>
              <w:t xml:space="preserve">1 </w:t>
            </w: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2096,99000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7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5964,16000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31858,06000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-6358,78000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151140,18479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657152,99400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517" w:left="1136" w:right="3666" w:bottom="517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8.8pt;margin-top:13.25pt;width:41.3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</w:t>
                </w:r>
                <w:r>
                  <w:rPr>
                    <w:rStyle w:val="CharStyle8"/>
                  </w:rPr>
                  <w:t xml:space="preserve">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6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">
    <w:name w:val="Подпись к таблиц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7">
    <w:name w:val="Основной текст (2) + 5,5 pt,Полужирный"/>
    <w:basedOn w:val="CharStyle16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jc w:val="right"/>
      <w:spacing w:after="60"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">
    <w:name w:val="Подпись к таблице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right"/>
      <w:spacing w:after="30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