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5" w:line="154" w:lineRule="exact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2023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51" w:left="250" w:right="682" w:bottom="1451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